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12" w:rsidRPr="003D2812" w:rsidRDefault="003D2812" w:rsidP="003D2812">
      <w:pPr>
        <w:shd w:val="clear" w:color="auto" w:fill="FFFFFF"/>
        <w:spacing w:before="300" w:after="150" w:line="420" w:lineRule="atLeast"/>
        <w:outlineLvl w:val="0"/>
        <w:rPr>
          <w:rFonts w:ascii="Arial" w:eastAsia="Times New Roman" w:hAnsi="Arial" w:cs="Arial"/>
          <w:color w:val="BC0089"/>
          <w:kern w:val="36"/>
          <w:sz w:val="36"/>
          <w:szCs w:val="36"/>
        </w:rPr>
      </w:pPr>
      <w:r w:rsidRPr="003D2812">
        <w:rPr>
          <w:rFonts w:ascii="Arial" w:eastAsia="Times New Roman" w:hAnsi="Arial" w:cs="Arial"/>
          <w:color w:val="BC0089"/>
          <w:kern w:val="36"/>
          <w:sz w:val="36"/>
          <w:szCs w:val="36"/>
        </w:rPr>
        <w:t>Mathematics Intervention at the Secondary Prevention Level of a Multi-Tier Prevention System: Six Key Principles</w:t>
      </w:r>
    </w:p>
    <w:p w:rsidR="003D2812" w:rsidRPr="003D2812" w:rsidRDefault="003D2812" w:rsidP="003D2812">
      <w:pPr>
        <w:spacing w:after="0" w:line="240" w:lineRule="auto"/>
        <w:rPr>
          <w:rFonts w:ascii="Times New Roman" w:eastAsia="Times New Roman" w:hAnsi="Times New Roman" w:cs="Times New Roman"/>
          <w:sz w:val="24"/>
          <w:szCs w:val="24"/>
        </w:rPr>
      </w:pPr>
      <w:proofErr w:type="gramStart"/>
      <w:r w:rsidRPr="003D2812">
        <w:rPr>
          <w:rFonts w:ascii="Arial" w:eastAsia="Times New Roman" w:hAnsi="Arial" w:cs="Arial"/>
          <w:i/>
          <w:iCs/>
          <w:color w:val="666666"/>
          <w:sz w:val="17"/>
        </w:rPr>
        <w:t>by</w:t>
      </w:r>
      <w:proofErr w:type="gramEnd"/>
      <w:r w:rsidRPr="003D2812">
        <w:rPr>
          <w:rFonts w:ascii="Arial" w:eastAsia="Times New Roman" w:hAnsi="Arial" w:cs="Arial"/>
          <w:i/>
          <w:iCs/>
          <w:color w:val="666666"/>
          <w:sz w:val="17"/>
        </w:rPr>
        <w:t> </w:t>
      </w:r>
      <w:hyperlink r:id="rId5" w:tgtFrame="_self" w:tooltip="Lynn Fuchs" w:history="1">
        <w:r w:rsidRPr="003D2812">
          <w:rPr>
            <w:rFonts w:ascii="Arial" w:eastAsia="Times New Roman" w:hAnsi="Arial" w:cs="Arial"/>
            <w:i/>
            <w:iCs/>
            <w:color w:val="339933"/>
            <w:sz w:val="17"/>
            <w:u w:val="single"/>
          </w:rPr>
          <w:t>Lynn S. Fuchs, Ph.D.</w:t>
        </w:r>
      </w:hyperlink>
      <w:r w:rsidRPr="003D2812">
        <w:rPr>
          <w:rFonts w:ascii="Arial" w:eastAsia="Times New Roman" w:hAnsi="Arial" w:cs="Arial"/>
          <w:i/>
          <w:iCs/>
          <w:color w:val="666666"/>
          <w:sz w:val="17"/>
        </w:rPr>
        <w:t>, Vanderbilt University</w:t>
      </w:r>
    </w:p>
    <w:p w:rsidR="003D2812" w:rsidRPr="003D2812" w:rsidRDefault="003D2812" w:rsidP="003D2812">
      <w:pPr>
        <w:shd w:val="clear" w:color="auto" w:fill="FFFFFF"/>
        <w:spacing w:after="0" w:line="240" w:lineRule="atLeast"/>
        <w:textAlignment w:val="center"/>
        <w:rPr>
          <w:rFonts w:ascii="Arial" w:eastAsia="Times New Roman" w:hAnsi="Arial" w:cs="Arial"/>
          <w:b/>
          <w:bCs/>
          <w:caps/>
          <w:color w:val="333333"/>
          <w:sz w:val="15"/>
          <w:szCs w:val="15"/>
        </w:rPr>
      </w:pPr>
    </w:p>
    <w:p w:rsidR="003D2812" w:rsidRPr="003D2812" w:rsidRDefault="003D2812" w:rsidP="003D2812">
      <w:pPr>
        <w:spacing w:after="0" w:line="240" w:lineRule="auto"/>
        <w:rPr>
          <w:rFonts w:ascii="Times New Roman" w:eastAsia="Times New Roman" w:hAnsi="Times New Roman" w:cs="Times New Roman"/>
          <w:sz w:val="24"/>
          <w:szCs w:val="24"/>
        </w:rPr>
      </w:pPr>
      <w:r w:rsidRPr="003D2812">
        <w:rPr>
          <w:rFonts w:ascii="Arial" w:eastAsia="Times New Roman" w:hAnsi="Arial" w:cs="Arial"/>
          <w:color w:val="333333"/>
          <w:sz w:val="20"/>
        </w:rPr>
        <w:t>Mathematics interventions at the Tier 2 (secondary prevention) level of a multi-tier prevention system must incorporate six instructional principles:</w:t>
      </w:r>
      <w:r w:rsidRPr="003D2812">
        <w:rPr>
          <w:rFonts w:ascii="Arial" w:eastAsia="Times New Roman" w:hAnsi="Arial" w:cs="Arial"/>
          <w:color w:val="333333"/>
          <w:sz w:val="20"/>
          <w:szCs w:val="20"/>
          <w:shd w:val="clear" w:color="auto" w:fill="FFFFFF"/>
        </w:rPr>
        <w:br/>
      </w:r>
      <w:r w:rsidRPr="003D2812">
        <w:rPr>
          <w:rFonts w:ascii="Arial" w:eastAsia="Times New Roman" w:hAnsi="Arial" w:cs="Arial"/>
          <w:color w:val="333333"/>
          <w:sz w:val="20"/>
          <w:szCs w:val="20"/>
          <w:shd w:val="clear" w:color="auto" w:fill="FFFFFF"/>
        </w:rPr>
        <w:br/>
      </w:r>
    </w:p>
    <w:p w:rsidR="003D2812" w:rsidRPr="003D2812" w:rsidRDefault="003D2812" w:rsidP="003D2812">
      <w:pPr>
        <w:numPr>
          <w:ilvl w:val="0"/>
          <w:numId w:val="4"/>
        </w:numPr>
        <w:shd w:val="clear" w:color="auto" w:fill="FFFFFF"/>
        <w:spacing w:before="100" w:beforeAutospacing="1" w:after="100" w:afterAutospacing="1" w:line="300" w:lineRule="atLeast"/>
        <w:ind w:left="300"/>
        <w:textAlignment w:val="center"/>
        <w:rPr>
          <w:rFonts w:ascii="Arial" w:eastAsia="Times New Roman" w:hAnsi="Arial" w:cs="Arial"/>
          <w:color w:val="333333"/>
          <w:sz w:val="20"/>
          <w:szCs w:val="20"/>
        </w:rPr>
      </w:pPr>
      <w:r w:rsidRPr="003D2812">
        <w:rPr>
          <w:rFonts w:ascii="Arial" w:eastAsia="Times New Roman" w:hAnsi="Arial" w:cs="Arial"/>
          <w:color w:val="333333"/>
          <w:sz w:val="20"/>
          <w:szCs w:val="20"/>
        </w:rPr>
        <w:t>Instructional explicitness</w:t>
      </w:r>
    </w:p>
    <w:p w:rsidR="003D2812" w:rsidRPr="003D2812" w:rsidRDefault="003D2812" w:rsidP="003D2812">
      <w:pPr>
        <w:numPr>
          <w:ilvl w:val="0"/>
          <w:numId w:val="4"/>
        </w:numPr>
        <w:shd w:val="clear" w:color="auto" w:fill="FFFFFF"/>
        <w:spacing w:before="100" w:beforeAutospacing="1" w:after="100" w:afterAutospacing="1" w:line="300" w:lineRule="atLeast"/>
        <w:ind w:left="300"/>
        <w:textAlignment w:val="center"/>
        <w:rPr>
          <w:rFonts w:ascii="Arial" w:eastAsia="Times New Roman" w:hAnsi="Arial" w:cs="Arial"/>
          <w:color w:val="333333"/>
          <w:sz w:val="20"/>
          <w:szCs w:val="20"/>
        </w:rPr>
      </w:pPr>
      <w:r w:rsidRPr="003D2812">
        <w:rPr>
          <w:rFonts w:ascii="Arial" w:eastAsia="Times New Roman" w:hAnsi="Arial" w:cs="Arial"/>
          <w:color w:val="333333"/>
          <w:sz w:val="20"/>
          <w:szCs w:val="20"/>
        </w:rPr>
        <w:t>Instructional design that eases the learning challenge</w:t>
      </w:r>
    </w:p>
    <w:p w:rsidR="003D2812" w:rsidRPr="003D2812" w:rsidRDefault="003D2812" w:rsidP="003D2812">
      <w:pPr>
        <w:numPr>
          <w:ilvl w:val="0"/>
          <w:numId w:val="4"/>
        </w:numPr>
        <w:shd w:val="clear" w:color="auto" w:fill="FFFFFF"/>
        <w:spacing w:before="100" w:beforeAutospacing="1" w:after="100" w:afterAutospacing="1" w:line="300" w:lineRule="atLeast"/>
        <w:ind w:left="300"/>
        <w:textAlignment w:val="center"/>
        <w:rPr>
          <w:rFonts w:ascii="Arial" w:eastAsia="Times New Roman" w:hAnsi="Arial" w:cs="Arial"/>
          <w:color w:val="333333"/>
          <w:sz w:val="20"/>
          <w:szCs w:val="20"/>
        </w:rPr>
      </w:pPr>
      <w:r w:rsidRPr="003D2812">
        <w:rPr>
          <w:rFonts w:ascii="Arial" w:eastAsia="Times New Roman" w:hAnsi="Arial" w:cs="Arial"/>
          <w:color w:val="333333"/>
          <w:sz w:val="20"/>
          <w:szCs w:val="20"/>
        </w:rPr>
        <w:t>A strong conceptual basis for procedures that are taught</w:t>
      </w:r>
    </w:p>
    <w:p w:rsidR="003D2812" w:rsidRPr="003D2812" w:rsidRDefault="003D2812" w:rsidP="003D2812">
      <w:pPr>
        <w:numPr>
          <w:ilvl w:val="0"/>
          <w:numId w:val="4"/>
        </w:numPr>
        <w:shd w:val="clear" w:color="auto" w:fill="FFFFFF"/>
        <w:spacing w:before="100" w:beforeAutospacing="1" w:after="100" w:afterAutospacing="1" w:line="300" w:lineRule="atLeast"/>
        <w:ind w:left="300"/>
        <w:textAlignment w:val="center"/>
        <w:rPr>
          <w:rFonts w:ascii="Arial" w:eastAsia="Times New Roman" w:hAnsi="Arial" w:cs="Arial"/>
          <w:color w:val="333333"/>
          <w:sz w:val="20"/>
          <w:szCs w:val="20"/>
        </w:rPr>
      </w:pPr>
      <w:r w:rsidRPr="003D2812">
        <w:rPr>
          <w:rFonts w:ascii="Arial" w:eastAsia="Times New Roman" w:hAnsi="Arial" w:cs="Arial"/>
          <w:color w:val="333333"/>
          <w:sz w:val="20"/>
          <w:szCs w:val="20"/>
        </w:rPr>
        <w:t>An emphasis on drill and practice</w:t>
      </w:r>
    </w:p>
    <w:p w:rsidR="003D2812" w:rsidRPr="003D2812" w:rsidRDefault="003D2812" w:rsidP="003D2812">
      <w:pPr>
        <w:numPr>
          <w:ilvl w:val="0"/>
          <w:numId w:val="4"/>
        </w:numPr>
        <w:shd w:val="clear" w:color="auto" w:fill="FFFFFF"/>
        <w:spacing w:before="100" w:beforeAutospacing="1" w:after="100" w:afterAutospacing="1" w:line="300" w:lineRule="atLeast"/>
        <w:ind w:left="300"/>
        <w:textAlignment w:val="center"/>
        <w:rPr>
          <w:rFonts w:ascii="Arial" w:eastAsia="Times New Roman" w:hAnsi="Arial" w:cs="Arial"/>
          <w:color w:val="333333"/>
          <w:sz w:val="20"/>
          <w:szCs w:val="20"/>
        </w:rPr>
      </w:pPr>
      <w:r w:rsidRPr="003D2812">
        <w:rPr>
          <w:rFonts w:ascii="Arial" w:eastAsia="Times New Roman" w:hAnsi="Arial" w:cs="Arial"/>
          <w:color w:val="333333"/>
          <w:sz w:val="20"/>
          <w:szCs w:val="20"/>
        </w:rPr>
        <w:t>Cumulative review as part of drill and practice</w:t>
      </w:r>
    </w:p>
    <w:p w:rsidR="003D2812" w:rsidRPr="003D2812" w:rsidRDefault="003D2812" w:rsidP="003D2812">
      <w:pPr>
        <w:numPr>
          <w:ilvl w:val="0"/>
          <w:numId w:val="4"/>
        </w:numPr>
        <w:shd w:val="clear" w:color="auto" w:fill="FFFFFF"/>
        <w:spacing w:before="100" w:beforeAutospacing="1" w:after="100" w:afterAutospacing="1" w:line="300" w:lineRule="atLeast"/>
        <w:ind w:left="300"/>
        <w:textAlignment w:val="center"/>
        <w:rPr>
          <w:rFonts w:ascii="Arial" w:eastAsia="Times New Roman" w:hAnsi="Arial" w:cs="Arial"/>
          <w:color w:val="333333"/>
          <w:sz w:val="20"/>
          <w:szCs w:val="20"/>
        </w:rPr>
      </w:pPr>
      <w:r w:rsidRPr="003D2812">
        <w:rPr>
          <w:rFonts w:ascii="Arial" w:eastAsia="Times New Roman" w:hAnsi="Arial" w:cs="Arial"/>
          <w:color w:val="333333"/>
          <w:sz w:val="20"/>
          <w:szCs w:val="20"/>
        </w:rPr>
        <w:t>Motivators to help students regulate their attention and behavior and to work hard</w:t>
      </w:r>
    </w:p>
    <w:p w:rsidR="003D2812" w:rsidRPr="003D2812" w:rsidRDefault="003D2812" w:rsidP="003D2812">
      <w:pPr>
        <w:spacing w:after="0" w:line="240" w:lineRule="auto"/>
        <w:rPr>
          <w:rFonts w:ascii="Times New Roman" w:eastAsia="Times New Roman" w:hAnsi="Times New Roman" w:cs="Times New Roman"/>
          <w:sz w:val="24"/>
          <w:szCs w:val="24"/>
        </w:rPr>
      </w:pPr>
      <w:r w:rsidRPr="003D2812">
        <w:rPr>
          <w:rFonts w:ascii="Arial" w:eastAsia="Times New Roman" w:hAnsi="Arial" w:cs="Arial"/>
          <w:color w:val="333333"/>
          <w:sz w:val="20"/>
          <w:szCs w:val="20"/>
          <w:shd w:val="clear" w:color="auto" w:fill="FFFFFF"/>
        </w:rPr>
        <w:br/>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This article describes each of these principles and some of their research underpinnings, with consideration given to how the principles can be implemented in real-world teaching contexts.</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The first principle of effective intervention in mathematics at the secondary prevention level is </w:t>
      </w:r>
      <w:r w:rsidRPr="003D2812">
        <w:rPr>
          <w:rFonts w:ascii="Arial" w:eastAsia="Times New Roman" w:hAnsi="Arial" w:cs="Arial"/>
          <w:i/>
          <w:iCs/>
          <w:color w:val="333333"/>
          <w:sz w:val="20"/>
        </w:rPr>
        <w:t>instructional explicitness</w:t>
      </w:r>
      <w:r w:rsidRPr="003D2812">
        <w:rPr>
          <w:rFonts w:ascii="Arial" w:eastAsia="Times New Roman" w:hAnsi="Arial" w:cs="Arial"/>
          <w:color w:val="333333"/>
          <w:sz w:val="20"/>
          <w:szCs w:val="20"/>
        </w:rPr>
        <w:t>. Typically developing students profit from the general education mathematics program even though it relies, at least in part, on a constructivist, inductive instructional style. Students who are at risk for serious mathematics deficits, however, fail to profit from those programs in a way that produces understanding of the structure, meaning, and operational requirements of mathematics. A meta-analysis of 58 math studies (</w:t>
      </w:r>
      <w:proofErr w:type="spellStart"/>
      <w:r w:rsidRPr="003D2812">
        <w:rPr>
          <w:rFonts w:ascii="Arial" w:eastAsia="Times New Roman" w:hAnsi="Arial" w:cs="Arial"/>
          <w:color w:val="333333"/>
          <w:sz w:val="20"/>
          <w:szCs w:val="20"/>
        </w:rPr>
        <w:t>Kroesbergen</w:t>
      </w:r>
      <w:proofErr w:type="spellEnd"/>
      <w:r w:rsidRPr="003D2812">
        <w:rPr>
          <w:rFonts w:ascii="Arial" w:eastAsia="Times New Roman" w:hAnsi="Arial" w:cs="Arial"/>
          <w:color w:val="333333"/>
          <w:sz w:val="20"/>
          <w:szCs w:val="20"/>
        </w:rPr>
        <w:t xml:space="preserve"> &amp; Van </w:t>
      </w:r>
      <w:proofErr w:type="spellStart"/>
      <w:r w:rsidRPr="003D2812">
        <w:rPr>
          <w:rFonts w:ascii="Arial" w:eastAsia="Times New Roman" w:hAnsi="Arial" w:cs="Arial"/>
          <w:color w:val="333333"/>
          <w:sz w:val="20"/>
          <w:szCs w:val="20"/>
        </w:rPr>
        <w:t>Luit</w:t>
      </w:r>
      <w:proofErr w:type="spellEnd"/>
      <w:r w:rsidRPr="003D2812">
        <w:rPr>
          <w:rFonts w:ascii="Arial" w:eastAsia="Times New Roman" w:hAnsi="Arial" w:cs="Arial"/>
          <w:color w:val="333333"/>
          <w:sz w:val="20"/>
          <w:szCs w:val="20"/>
        </w:rPr>
        <w:t>, 2003) revealed that students with math disability benefit more from explicit instruction than from discovery-oriented methods. Therefore, effective intervention in Tier 2 requires an explicit, didactic form of instruction in which the teacher directly shares the information the child needs to learn.</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Explicitness is not, however, sufficient. A second and often overlooked principle of effective secondary mathematics intervention is </w:t>
      </w:r>
      <w:r w:rsidRPr="003D2812">
        <w:rPr>
          <w:rFonts w:ascii="Arial" w:eastAsia="Times New Roman" w:hAnsi="Arial" w:cs="Arial"/>
          <w:i/>
          <w:iCs/>
          <w:color w:val="333333"/>
          <w:sz w:val="20"/>
        </w:rPr>
        <w:t>instructional design that eases the learning challenge</w:t>
      </w:r>
      <w:r w:rsidRPr="003D2812">
        <w:rPr>
          <w:rFonts w:ascii="Arial" w:eastAsia="Times New Roman" w:hAnsi="Arial" w:cs="Arial"/>
          <w:color w:val="333333"/>
          <w:sz w:val="20"/>
          <w:szCs w:val="20"/>
        </w:rPr>
        <w:t>. The goal is to anticipate and eliminate misunderstandings by means of precise explanations and with the use of carefully sequenced and integrated instruction. The purpose is to close the achievement gap as quickly as possible. This may be especially important for mathematics, which involves many branches and strands that may be distinct, each with its own conceptual and procedural demands. So, given the ever-changing and multiple demands of the mathematics curriculum, instructional efficiency is critical, creating the need for the tutor or the program on which the tutor relies to minimize the learning challenges for the student.</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xml:space="preserve">Careful instructional design begins by teaching a set of foundational skills the student can apply across the entire program: counting up for number combinations, two-digit calculations, solving algebraic equations, and checking work. These foundational skills can be taught as intact instructional targets and then applied efficiently across subsequent units once word problem instruction begins. Then instruction purposefully conceptualizes, organizes, and teaches students to recognize problem types that pertain broadly to the kinds of problems found in the general education curriculum and in high-stakes tests. That way, novel word problems are not random events for students, each of which requires the creation of a solution strategy. Rather, the student recognizes novel problems as familiar, using schemas for problem types that the program teaches, and thereby deciphers when to apply which set of solution rules he or </w:t>
      </w:r>
      <w:r w:rsidRPr="003D2812">
        <w:rPr>
          <w:rFonts w:ascii="Arial" w:eastAsia="Times New Roman" w:hAnsi="Arial" w:cs="Arial"/>
          <w:color w:val="333333"/>
          <w:sz w:val="20"/>
          <w:szCs w:val="20"/>
        </w:rPr>
        <w:lastRenderedPageBreak/>
        <w:t>she has learned. Finally, instruction conceptualizes transfer within the same problem-type structure, so that irrelevant information, finding missing information in any of the three slots of an equation, and finding relevant information within charts or graphs recurs predictably and efficiently across problem-type instructional units.</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The third principle of effective secondary mathematics intervention is the requirement that instruction provide a </w:t>
      </w:r>
      <w:r w:rsidRPr="003D2812">
        <w:rPr>
          <w:rFonts w:ascii="Arial" w:eastAsia="Times New Roman" w:hAnsi="Arial" w:cs="Arial"/>
          <w:i/>
          <w:iCs/>
          <w:color w:val="333333"/>
          <w:sz w:val="20"/>
        </w:rPr>
        <w:t>strong conceptual basis for procedures that are taught</w:t>
      </w:r>
      <w:r w:rsidRPr="003D2812">
        <w:rPr>
          <w:rFonts w:ascii="Arial" w:eastAsia="Times New Roman" w:hAnsi="Arial" w:cs="Arial"/>
          <w:color w:val="333333"/>
          <w:sz w:val="20"/>
          <w:szCs w:val="20"/>
        </w:rPr>
        <w:t>. Special education is already strong in emphasizing </w:t>
      </w:r>
      <w:r w:rsidRPr="003D2812">
        <w:rPr>
          <w:rFonts w:ascii="Arial" w:eastAsia="Times New Roman" w:hAnsi="Arial" w:cs="Arial"/>
          <w:i/>
          <w:iCs/>
          <w:color w:val="333333"/>
          <w:sz w:val="20"/>
        </w:rPr>
        <w:t>drill and practice</w:t>
      </w:r>
      <w:r w:rsidRPr="003D2812">
        <w:rPr>
          <w:rFonts w:ascii="Arial" w:eastAsia="Times New Roman" w:hAnsi="Arial" w:cs="Arial"/>
          <w:color w:val="333333"/>
          <w:sz w:val="20"/>
          <w:szCs w:val="20"/>
        </w:rPr>
        <w:t>, a critical and fourth principle of effective practice. Special education has, however, sometimes neglected the conceptual foundation of mathematics, and such neglect can result in confusion, learning gaps, and a failure to maintain and integrate previously mastered content. Drill and practice, the fourth principle of effective secondary mathematics intervention, includes practice in sorting problems into problem types, the mixing of problem types within the daily lesson (once at least two problem types have been introduced), and daily review. We note that this practice should be rich in </w:t>
      </w:r>
      <w:r w:rsidRPr="003D2812">
        <w:rPr>
          <w:rFonts w:ascii="Arial" w:eastAsia="Times New Roman" w:hAnsi="Arial" w:cs="Arial"/>
          <w:i/>
          <w:iCs/>
          <w:color w:val="333333"/>
          <w:sz w:val="20"/>
        </w:rPr>
        <w:t>cumulative review</w:t>
      </w:r>
      <w:r w:rsidRPr="003D2812">
        <w:rPr>
          <w:rFonts w:ascii="Arial" w:eastAsia="Times New Roman" w:hAnsi="Arial" w:cs="Arial"/>
          <w:color w:val="333333"/>
          <w:sz w:val="20"/>
          <w:szCs w:val="20"/>
        </w:rPr>
        <w:t>, a fifth principle of effective secondary mathematics intervention. This is reflected in continual reliance on the foundational skills taught in the introductory unit and the use of mixed problem types within conceptual instruction, sorting practice, and paper-and-pencil review.</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Finally, secondary mathematics interventions need to incorporate </w:t>
      </w:r>
      <w:r w:rsidRPr="003D2812">
        <w:rPr>
          <w:rFonts w:ascii="Arial" w:eastAsia="Times New Roman" w:hAnsi="Arial" w:cs="Arial"/>
          <w:i/>
          <w:iCs/>
          <w:color w:val="333333"/>
          <w:sz w:val="20"/>
        </w:rPr>
        <w:t>motivators to help students regulate their attention and behavior and to work hard</w:t>
      </w:r>
      <w:r w:rsidRPr="003D2812">
        <w:rPr>
          <w:rFonts w:ascii="Arial" w:eastAsia="Times New Roman" w:hAnsi="Arial" w:cs="Arial"/>
          <w:color w:val="333333"/>
          <w:sz w:val="20"/>
          <w:szCs w:val="20"/>
        </w:rPr>
        <w:t xml:space="preserve">. Students at risk for poor academic outcomes often display attention, motivation, and self-regulation difficulties that may adversely affect their behavior and learning (Fuchs et al., 2006; Montague, 2007). By the time students enter secondary intervention, they often have experienced at least some failure, which may cause some to avoid the emotional stress associated with </w:t>
      </w:r>
      <w:proofErr w:type="gramStart"/>
      <w:r w:rsidRPr="003D2812">
        <w:rPr>
          <w:rFonts w:ascii="Arial" w:eastAsia="Times New Roman" w:hAnsi="Arial" w:cs="Arial"/>
          <w:color w:val="333333"/>
          <w:sz w:val="20"/>
          <w:szCs w:val="20"/>
        </w:rPr>
        <w:t>mathematics</w:t>
      </w:r>
      <w:proofErr w:type="gramEnd"/>
      <w:r w:rsidRPr="003D2812">
        <w:rPr>
          <w:rFonts w:ascii="Arial" w:eastAsia="Times New Roman" w:hAnsi="Arial" w:cs="Arial"/>
          <w:color w:val="333333"/>
          <w:sz w:val="20"/>
          <w:szCs w:val="20"/>
        </w:rPr>
        <w:t xml:space="preserve">: They no longer try to learn for fear of failing. For this reason, secondary intervention must incorporate systematic self-regulation and motivators, and for many students, tangible </w:t>
      </w:r>
      <w:proofErr w:type="spellStart"/>
      <w:r w:rsidRPr="003D2812">
        <w:rPr>
          <w:rFonts w:ascii="Arial" w:eastAsia="Times New Roman" w:hAnsi="Arial" w:cs="Arial"/>
          <w:color w:val="333333"/>
          <w:sz w:val="20"/>
          <w:szCs w:val="20"/>
        </w:rPr>
        <w:t>reinforcers</w:t>
      </w:r>
      <w:proofErr w:type="spellEnd"/>
      <w:r w:rsidRPr="003D2812">
        <w:rPr>
          <w:rFonts w:ascii="Arial" w:eastAsia="Times New Roman" w:hAnsi="Arial" w:cs="Arial"/>
          <w:color w:val="333333"/>
          <w:sz w:val="20"/>
          <w:szCs w:val="20"/>
        </w:rPr>
        <w:t xml:space="preserve"> are required.</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 </w:t>
      </w:r>
    </w:p>
    <w:p w:rsidR="003D2812" w:rsidRPr="003D2812" w:rsidRDefault="003D2812" w:rsidP="003D2812">
      <w:pPr>
        <w:shd w:val="clear" w:color="auto" w:fill="FFFFFF"/>
        <w:spacing w:after="0" w:line="240" w:lineRule="auto"/>
        <w:rPr>
          <w:rFonts w:ascii="Arial" w:eastAsia="Times New Roman" w:hAnsi="Arial" w:cs="Arial"/>
          <w:color w:val="333333"/>
          <w:sz w:val="20"/>
          <w:szCs w:val="20"/>
        </w:rPr>
      </w:pPr>
      <w:r w:rsidRPr="003D2812">
        <w:rPr>
          <w:rFonts w:ascii="Arial" w:eastAsia="Times New Roman" w:hAnsi="Arial" w:cs="Arial"/>
          <w:color w:val="333333"/>
          <w:sz w:val="20"/>
          <w:szCs w:val="20"/>
        </w:rPr>
        <w:t>Although mathematics preventative tutoring at the Tier 2 level has received less attention than in reading, several validated protocols do exist in the primary grades. Further information is available from the RTI Action Network or can be obtained by contacting </w:t>
      </w:r>
      <w:hyperlink r:id="rId6" w:tgtFrame="_self" w:history="1">
        <w:r w:rsidRPr="003D2812">
          <w:rPr>
            <w:rFonts w:ascii="Arial" w:eastAsia="Times New Roman" w:hAnsi="Arial" w:cs="Arial"/>
            <w:color w:val="339933"/>
            <w:sz w:val="20"/>
            <w:u w:val="single"/>
          </w:rPr>
          <w:t>Flora Murray at Vanderbilt University</w:t>
        </w:r>
      </w:hyperlink>
      <w:r w:rsidRPr="003D2812">
        <w:rPr>
          <w:rFonts w:ascii="Arial" w:eastAsia="Times New Roman" w:hAnsi="Arial" w:cs="Arial"/>
          <w:color w:val="333333"/>
          <w:sz w:val="20"/>
          <w:szCs w:val="20"/>
        </w:rPr>
        <w:t>.</w:t>
      </w:r>
    </w:p>
    <w:p w:rsidR="00ED185D" w:rsidRDefault="003D2812"/>
    <w:sectPr w:rsidR="00ED185D" w:rsidSect="000D6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9F7"/>
    <w:multiLevelType w:val="multilevel"/>
    <w:tmpl w:val="1F3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0290B"/>
    <w:multiLevelType w:val="multilevel"/>
    <w:tmpl w:val="67B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63238"/>
    <w:multiLevelType w:val="multilevel"/>
    <w:tmpl w:val="AD7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D70EE"/>
    <w:multiLevelType w:val="multilevel"/>
    <w:tmpl w:val="5C883CAE"/>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812"/>
    <w:rsid w:val="000107FB"/>
    <w:rsid w:val="000D66A4"/>
    <w:rsid w:val="003D2812"/>
    <w:rsid w:val="0055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A4"/>
  </w:style>
  <w:style w:type="paragraph" w:styleId="Heading1">
    <w:name w:val="heading 1"/>
    <w:basedOn w:val="Normal"/>
    <w:link w:val="Heading1Char"/>
    <w:uiPriority w:val="9"/>
    <w:qFormat/>
    <w:rsid w:val="003D2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812"/>
    <w:rPr>
      <w:rFonts w:ascii="Times New Roman" w:eastAsia="Times New Roman" w:hAnsi="Times New Roman" w:cs="Times New Roman"/>
      <w:b/>
      <w:bCs/>
      <w:sz w:val="27"/>
      <w:szCs w:val="27"/>
    </w:rPr>
  </w:style>
  <w:style w:type="character" w:customStyle="1" w:styleId="byline">
    <w:name w:val="byline"/>
    <w:basedOn w:val="DefaultParagraphFont"/>
    <w:rsid w:val="003D2812"/>
  </w:style>
  <w:style w:type="character" w:styleId="Hyperlink">
    <w:name w:val="Hyperlink"/>
    <w:basedOn w:val="DefaultParagraphFont"/>
    <w:uiPriority w:val="99"/>
    <w:semiHidden/>
    <w:unhideWhenUsed/>
    <w:rsid w:val="003D2812"/>
    <w:rPr>
      <w:color w:val="0000FF"/>
      <w:u w:val="single"/>
    </w:rPr>
  </w:style>
  <w:style w:type="character" w:customStyle="1" w:styleId="content-container">
    <w:name w:val="content-container"/>
    <w:basedOn w:val="DefaultParagraphFont"/>
    <w:rsid w:val="003D2812"/>
  </w:style>
  <w:style w:type="paragraph" w:customStyle="1" w:styleId="content-container1">
    <w:name w:val="content-container1"/>
    <w:basedOn w:val="Normal"/>
    <w:rsid w:val="003D28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812"/>
    <w:rPr>
      <w:i/>
      <w:iCs/>
    </w:rPr>
  </w:style>
  <w:style w:type="paragraph" w:styleId="BalloonText">
    <w:name w:val="Balloon Text"/>
    <w:basedOn w:val="Normal"/>
    <w:link w:val="BalloonTextChar"/>
    <w:uiPriority w:val="99"/>
    <w:semiHidden/>
    <w:unhideWhenUsed/>
    <w:rsid w:val="003D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628039">
      <w:bodyDiv w:val="1"/>
      <w:marLeft w:val="0"/>
      <w:marRight w:val="0"/>
      <w:marTop w:val="0"/>
      <w:marBottom w:val="0"/>
      <w:divBdr>
        <w:top w:val="none" w:sz="0" w:space="0" w:color="auto"/>
        <w:left w:val="none" w:sz="0" w:space="0" w:color="auto"/>
        <w:bottom w:val="none" w:sz="0" w:space="0" w:color="auto"/>
        <w:right w:val="none" w:sz="0" w:space="0" w:color="auto"/>
      </w:divBdr>
      <w:divsChild>
        <w:div w:id="322314369">
          <w:marLeft w:val="0"/>
          <w:marRight w:val="300"/>
          <w:marTop w:val="0"/>
          <w:marBottom w:val="0"/>
          <w:divBdr>
            <w:top w:val="single" w:sz="6" w:space="5" w:color="BEE0F5"/>
            <w:left w:val="none" w:sz="0" w:space="0" w:color="auto"/>
            <w:bottom w:val="single" w:sz="6" w:space="5" w:color="BEE0F5"/>
            <w:right w:val="none" w:sz="0" w:space="0" w:color="auto"/>
          </w:divBdr>
          <w:divsChild>
            <w:div w:id="2018381995">
              <w:marLeft w:val="0"/>
              <w:marRight w:val="300"/>
              <w:marTop w:val="0"/>
              <w:marBottom w:val="0"/>
              <w:divBdr>
                <w:top w:val="none" w:sz="0" w:space="0" w:color="auto"/>
                <w:left w:val="none" w:sz="0" w:space="0" w:color="auto"/>
                <w:bottom w:val="none" w:sz="0" w:space="0" w:color="auto"/>
                <w:right w:val="none" w:sz="0" w:space="0" w:color="auto"/>
              </w:divBdr>
            </w:div>
          </w:divsChild>
        </w:div>
        <w:div w:id="1287657571">
          <w:marLeft w:val="0"/>
          <w:marRight w:val="300"/>
          <w:marTop w:val="0"/>
          <w:marBottom w:val="0"/>
          <w:divBdr>
            <w:top w:val="single" w:sz="6" w:space="11" w:color="BEE0F5"/>
            <w:left w:val="single" w:sz="6" w:space="11" w:color="BEE0F5"/>
            <w:bottom w:val="none" w:sz="0" w:space="0" w:color="auto"/>
            <w:right w:val="single" w:sz="6" w:space="11" w:color="BEE0F5"/>
          </w:divBdr>
        </w:div>
        <w:div w:id="880902114">
          <w:marLeft w:val="0"/>
          <w:marRight w:val="0"/>
          <w:marTop w:val="0"/>
          <w:marBottom w:val="0"/>
          <w:divBdr>
            <w:top w:val="none" w:sz="0" w:space="0" w:color="auto"/>
            <w:left w:val="none" w:sz="0" w:space="0" w:color="auto"/>
            <w:bottom w:val="none" w:sz="0" w:space="0" w:color="auto"/>
            <w:right w:val="none" w:sz="0" w:space="0" w:color="auto"/>
          </w:divBdr>
        </w:div>
        <w:div w:id="1065494536">
          <w:marLeft w:val="0"/>
          <w:marRight w:val="0"/>
          <w:marTop w:val="0"/>
          <w:marBottom w:val="0"/>
          <w:divBdr>
            <w:top w:val="none" w:sz="0" w:space="0" w:color="auto"/>
            <w:left w:val="none" w:sz="0" w:space="0" w:color="auto"/>
            <w:bottom w:val="none" w:sz="0" w:space="0" w:color="auto"/>
            <w:right w:val="none" w:sz="0" w:space="0" w:color="auto"/>
          </w:divBdr>
        </w:div>
        <w:div w:id="1539470019">
          <w:marLeft w:val="0"/>
          <w:marRight w:val="0"/>
          <w:marTop w:val="0"/>
          <w:marBottom w:val="0"/>
          <w:divBdr>
            <w:top w:val="none" w:sz="0" w:space="0" w:color="auto"/>
            <w:left w:val="none" w:sz="0" w:space="0" w:color="auto"/>
            <w:bottom w:val="none" w:sz="0" w:space="0" w:color="auto"/>
            <w:right w:val="none" w:sz="0" w:space="0" w:color="auto"/>
          </w:divBdr>
        </w:div>
        <w:div w:id="1163662454">
          <w:marLeft w:val="0"/>
          <w:marRight w:val="0"/>
          <w:marTop w:val="0"/>
          <w:marBottom w:val="0"/>
          <w:divBdr>
            <w:top w:val="none" w:sz="0" w:space="0" w:color="auto"/>
            <w:left w:val="none" w:sz="0" w:space="0" w:color="auto"/>
            <w:bottom w:val="none" w:sz="0" w:space="0" w:color="auto"/>
            <w:right w:val="none" w:sz="0" w:space="0" w:color="auto"/>
          </w:divBdr>
        </w:div>
        <w:div w:id="227495378">
          <w:marLeft w:val="0"/>
          <w:marRight w:val="0"/>
          <w:marTop w:val="0"/>
          <w:marBottom w:val="0"/>
          <w:divBdr>
            <w:top w:val="none" w:sz="0" w:space="0" w:color="auto"/>
            <w:left w:val="none" w:sz="0" w:space="0" w:color="auto"/>
            <w:bottom w:val="none" w:sz="0" w:space="0" w:color="auto"/>
            <w:right w:val="none" w:sz="0" w:space="0" w:color="auto"/>
          </w:divBdr>
        </w:div>
        <w:div w:id="52725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a.murray@vanderbilt.edu?subject=Mathematics%20preventative%20tutoring%20at%20Tier%202%20(RTINetwork.org/Lynn%20Fuchs%20article%20referral)" TargetMode="External"/><Relationship Id="rId5" Type="http://schemas.openxmlformats.org/officeDocument/2006/relationships/hyperlink" Target="http://www.rtinetwork.org/about-us/contributors/fuchs-ly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kdeffenbaugh</dc:creator>
  <cp:lastModifiedBy>kdeffenbaugh</cp:lastModifiedBy>
  <cp:revision>1</cp:revision>
  <dcterms:created xsi:type="dcterms:W3CDTF">2017-10-10T12:28:00Z</dcterms:created>
  <dcterms:modified xsi:type="dcterms:W3CDTF">2017-10-10T12:30:00Z</dcterms:modified>
</cp:coreProperties>
</file>