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92" w:rsidRPr="00642C92" w:rsidRDefault="00642C92" w:rsidP="00642C92">
      <w:pPr>
        <w:shd w:val="clear" w:color="auto" w:fill="FFFFFF"/>
        <w:spacing w:after="0" w:line="240" w:lineRule="auto"/>
        <w:rPr>
          <w:rFonts w:ascii="Tahoma" w:eastAsia="Times New Roman" w:hAnsi="Tahoma" w:cs="Tahoma"/>
          <w:color w:val="222222"/>
          <w:sz w:val="19"/>
          <w:szCs w:val="19"/>
        </w:rPr>
      </w:pPr>
      <w:r w:rsidRPr="00642C92">
        <w:rPr>
          <w:rFonts w:ascii="Tahoma" w:eastAsia="Times New Roman" w:hAnsi="Tahoma" w:cs="Tahoma"/>
          <w:color w:val="222222"/>
          <w:sz w:val="19"/>
          <w:szCs w:val="19"/>
        </w:rPr>
        <w:t>Happy Red Ribbon Week!</w:t>
      </w:r>
    </w:p>
    <w:p w:rsidR="00642C92" w:rsidRPr="00642C92" w:rsidRDefault="00642C92" w:rsidP="00642C92">
      <w:pPr>
        <w:shd w:val="clear" w:color="auto" w:fill="FFFFFF"/>
        <w:spacing w:after="0" w:line="240" w:lineRule="auto"/>
        <w:rPr>
          <w:rFonts w:ascii="Tahoma" w:eastAsia="Times New Roman" w:hAnsi="Tahoma" w:cs="Tahoma"/>
          <w:color w:val="222222"/>
          <w:sz w:val="19"/>
          <w:szCs w:val="19"/>
        </w:rPr>
      </w:pPr>
    </w:p>
    <w:p w:rsidR="00642C92" w:rsidRPr="00642C92" w:rsidRDefault="00642C92" w:rsidP="00642C92">
      <w:pPr>
        <w:shd w:val="clear" w:color="auto" w:fill="FFFFFF"/>
        <w:spacing w:after="0" w:line="240" w:lineRule="auto"/>
        <w:rPr>
          <w:rFonts w:ascii="Tahoma" w:eastAsia="Times New Roman" w:hAnsi="Tahoma" w:cs="Tahoma"/>
          <w:color w:val="222222"/>
          <w:sz w:val="19"/>
          <w:szCs w:val="19"/>
        </w:rPr>
      </w:pPr>
      <w:r w:rsidRPr="00642C92">
        <w:rPr>
          <w:rFonts w:ascii="Tahoma" w:eastAsia="Times New Roman" w:hAnsi="Tahoma" w:cs="Tahoma"/>
          <w:color w:val="222222"/>
          <w:sz w:val="19"/>
          <w:szCs w:val="19"/>
        </w:rPr>
        <w:t>For Engage tomorrow, please go to this website: </w:t>
      </w:r>
    </w:p>
    <w:p w:rsidR="00642C92" w:rsidRPr="00642C92" w:rsidRDefault="00642C92" w:rsidP="00642C92">
      <w:pPr>
        <w:shd w:val="clear" w:color="auto" w:fill="FFFFFF"/>
        <w:spacing w:after="0" w:line="240" w:lineRule="auto"/>
        <w:rPr>
          <w:rFonts w:ascii="Tahoma" w:eastAsia="Times New Roman" w:hAnsi="Tahoma" w:cs="Tahoma"/>
          <w:color w:val="222222"/>
          <w:sz w:val="19"/>
          <w:szCs w:val="19"/>
        </w:rPr>
      </w:pPr>
      <w:hyperlink r:id="rId6" w:tgtFrame="_blank" w:history="1">
        <w:r w:rsidRPr="00642C92">
          <w:rPr>
            <w:rFonts w:ascii="Tahoma" w:eastAsia="Times New Roman" w:hAnsi="Tahoma" w:cs="Tahoma"/>
            <w:color w:val="1155CC"/>
            <w:sz w:val="19"/>
            <w:szCs w:val="19"/>
            <w:u w:val="single"/>
          </w:rPr>
          <w:t>https://teens.drugabuse.gov/teachers/lesson-plan-and-activity-finder/teacher-s-guide-prescription-drug-misuse-choose-your-path</w:t>
        </w:r>
      </w:hyperlink>
    </w:p>
    <w:p w:rsidR="00642C92" w:rsidRPr="00642C92" w:rsidRDefault="00642C92" w:rsidP="00642C92">
      <w:pPr>
        <w:shd w:val="clear" w:color="auto" w:fill="FFFFFF"/>
        <w:spacing w:after="0" w:line="240" w:lineRule="auto"/>
        <w:rPr>
          <w:rFonts w:ascii="Tahoma" w:eastAsia="Times New Roman" w:hAnsi="Tahoma" w:cs="Tahoma"/>
          <w:color w:val="222222"/>
          <w:sz w:val="19"/>
          <w:szCs w:val="19"/>
        </w:rPr>
      </w:pPr>
    </w:p>
    <w:p w:rsidR="00642C92" w:rsidRPr="00642C92" w:rsidRDefault="00642C92" w:rsidP="00642C92">
      <w:pPr>
        <w:shd w:val="clear" w:color="auto" w:fill="FFFFFF"/>
        <w:spacing w:after="0" w:line="240" w:lineRule="auto"/>
        <w:rPr>
          <w:rFonts w:ascii="Tahoma" w:eastAsia="Times New Roman" w:hAnsi="Tahoma" w:cs="Tahoma"/>
          <w:color w:val="222222"/>
          <w:sz w:val="19"/>
          <w:szCs w:val="19"/>
        </w:rPr>
      </w:pPr>
      <w:r w:rsidRPr="00642C92">
        <w:rPr>
          <w:rFonts w:ascii="Tahoma" w:eastAsia="Times New Roman" w:hAnsi="Tahoma" w:cs="Tahoma"/>
          <w:color w:val="222222"/>
          <w:sz w:val="19"/>
          <w:szCs w:val="19"/>
        </w:rPr>
        <w:t xml:space="preserve">First, click on Video 1: Choose </w:t>
      </w:r>
      <w:proofErr w:type="gramStart"/>
      <w:r w:rsidRPr="00642C92">
        <w:rPr>
          <w:rFonts w:ascii="Tahoma" w:eastAsia="Times New Roman" w:hAnsi="Tahoma" w:cs="Tahoma"/>
          <w:color w:val="222222"/>
          <w:sz w:val="19"/>
          <w:szCs w:val="19"/>
        </w:rPr>
        <w:t>Your</w:t>
      </w:r>
      <w:proofErr w:type="gramEnd"/>
      <w:r w:rsidRPr="00642C92">
        <w:rPr>
          <w:rFonts w:ascii="Tahoma" w:eastAsia="Times New Roman" w:hAnsi="Tahoma" w:cs="Tahoma"/>
          <w:color w:val="222222"/>
          <w:sz w:val="19"/>
          <w:szCs w:val="19"/>
        </w:rPr>
        <w:t xml:space="preserve"> Path: BFF or the Ex?</w:t>
      </w:r>
    </w:p>
    <w:p w:rsidR="00642C92" w:rsidRPr="00642C92" w:rsidRDefault="00642C92" w:rsidP="00642C92">
      <w:pPr>
        <w:shd w:val="clear" w:color="auto" w:fill="FFFFFF"/>
        <w:spacing w:after="0" w:line="240" w:lineRule="auto"/>
        <w:rPr>
          <w:rFonts w:ascii="Tahoma" w:eastAsia="Times New Roman" w:hAnsi="Tahoma" w:cs="Tahoma"/>
          <w:color w:val="222222"/>
          <w:sz w:val="19"/>
          <w:szCs w:val="19"/>
        </w:rPr>
      </w:pPr>
      <w:r w:rsidRPr="00642C92">
        <w:rPr>
          <w:rFonts w:ascii="Tahoma" w:eastAsia="Times New Roman" w:hAnsi="Tahoma" w:cs="Tahoma"/>
          <w:color w:val="222222"/>
          <w:sz w:val="19"/>
          <w:szCs w:val="19"/>
        </w:rPr>
        <w:t>Watch the video and allow the students to choose the path.</w:t>
      </w:r>
    </w:p>
    <w:p w:rsidR="00642C92" w:rsidRPr="00642C92" w:rsidRDefault="00642C92" w:rsidP="00642C92">
      <w:pPr>
        <w:shd w:val="clear" w:color="auto" w:fill="FFFFFF"/>
        <w:spacing w:after="0" w:line="240" w:lineRule="auto"/>
        <w:rPr>
          <w:rFonts w:ascii="Tahoma" w:eastAsia="Times New Roman" w:hAnsi="Tahoma" w:cs="Tahoma"/>
          <w:color w:val="222222"/>
          <w:sz w:val="19"/>
          <w:szCs w:val="19"/>
        </w:rPr>
      </w:pPr>
      <w:r w:rsidRPr="00642C92">
        <w:rPr>
          <w:rFonts w:ascii="Tahoma" w:eastAsia="Times New Roman" w:hAnsi="Tahoma" w:cs="Tahoma"/>
          <w:color w:val="222222"/>
          <w:sz w:val="19"/>
          <w:szCs w:val="19"/>
        </w:rPr>
        <w:t>Then go back to the website and go through the Xanax and Vicodin informational pages. You can skim through these. We really want to focus on the negative effects of taking someone else's prescription drugs.</w:t>
      </w:r>
    </w:p>
    <w:p w:rsidR="00642C92" w:rsidRPr="00642C92" w:rsidRDefault="00642C92" w:rsidP="00642C92">
      <w:pPr>
        <w:shd w:val="clear" w:color="auto" w:fill="FFFFFF"/>
        <w:spacing w:after="0" w:line="240" w:lineRule="auto"/>
        <w:rPr>
          <w:rFonts w:ascii="Tahoma" w:eastAsia="Times New Roman" w:hAnsi="Tahoma" w:cs="Tahoma"/>
          <w:color w:val="222222"/>
          <w:sz w:val="19"/>
          <w:szCs w:val="19"/>
        </w:rPr>
      </w:pPr>
    </w:p>
    <w:p w:rsidR="00642C92" w:rsidRPr="00642C92" w:rsidRDefault="00642C92" w:rsidP="00642C92">
      <w:pPr>
        <w:shd w:val="clear" w:color="auto" w:fill="FFFFFF"/>
        <w:spacing w:after="0" w:line="240" w:lineRule="auto"/>
        <w:rPr>
          <w:rFonts w:ascii="Tahoma" w:eastAsia="Times New Roman" w:hAnsi="Tahoma" w:cs="Tahoma"/>
          <w:color w:val="222222"/>
          <w:sz w:val="19"/>
          <w:szCs w:val="19"/>
        </w:rPr>
      </w:pPr>
      <w:r w:rsidRPr="00642C92">
        <w:rPr>
          <w:rFonts w:ascii="Tahoma" w:eastAsia="Times New Roman" w:hAnsi="Tahoma" w:cs="Tahoma"/>
          <w:color w:val="222222"/>
          <w:sz w:val="19"/>
          <w:szCs w:val="19"/>
        </w:rPr>
        <w:t>Next, click on Video 2: Choose Your Path: The Big Test</w:t>
      </w:r>
    </w:p>
    <w:p w:rsidR="00642C92" w:rsidRPr="00642C92" w:rsidRDefault="00642C92" w:rsidP="00642C92">
      <w:pPr>
        <w:shd w:val="clear" w:color="auto" w:fill="FFFFFF"/>
        <w:spacing w:after="0" w:line="240" w:lineRule="auto"/>
        <w:rPr>
          <w:rFonts w:ascii="Tahoma" w:eastAsia="Times New Roman" w:hAnsi="Tahoma" w:cs="Tahoma"/>
          <w:color w:val="222222"/>
          <w:sz w:val="19"/>
          <w:szCs w:val="19"/>
        </w:rPr>
      </w:pPr>
      <w:r w:rsidRPr="00642C92">
        <w:rPr>
          <w:rFonts w:ascii="Tahoma" w:eastAsia="Times New Roman" w:hAnsi="Tahoma" w:cs="Tahoma"/>
          <w:color w:val="222222"/>
          <w:sz w:val="19"/>
          <w:szCs w:val="19"/>
        </w:rPr>
        <w:t>Watch the video and allow the students to choose the path.</w:t>
      </w:r>
    </w:p>
    <w:p w:rsidR="00642C92" w:rsidRPr="00642C92" w:rsidRDefault="00642C92" w:rsidP="00642C92">
      <w:pPr>
        <w:shd w:val="clear" w:color="auto" w:fill="FFFFFF"/>
        <w:spacing w:after="0" w:line="240" w:lineRule="auto"/>
        <w:rPr>
          <w:rFonts w:ascii="Tahoma" w:eastAsia="Times New Roman" w:hAnsi="Tahoma" w:cs="Tahoma"/>
          <w:color w:val="222222"/>
          <w:sz w:val="19"/>
          <w:szCs w:val="19"/>
        </w:rPr>
      </w:pPr>
      <w:r w:rsidRPr="00642C92">
        <w:rPr>
          <w:rFonts w:ascii="Tahoma" w:eastAsia="Times New Roman" w:hAnsi="Tahoma" w:cs="Tahoma"/>
          <w:color w:val="222222"/>
          <w:sz w:val="19"/>
          <w:szCs w:val="19"/>
        </w:rPr>
        <w:t>Then go back to the website and read through the Adderall and other stimulants information.</w:t>
      </w:r>
    </w:p>
    <w:p w:rsidR="00642C92" w:rsidRPr="00642C92" w:rsidRDefault="00642C92" w:rsidP="00642C92">
      <w:pPr>
        <w:shd w:val="clear" w:color="auto" w:fill="FFFFFF"/>
        <w:spacing w:after="0" w:line="240" w:lineRule="auto"/>
        <w:rPr>
          <w:rFonts w:ascii="Tahoma" w:eastAsia="Times New Roman" w:hAnsi="Tahoma" w:cs="Tahoma"/>
          <w:color w:val="222222"/>
          <w:sz w:val="19"/>
          <w:szCs w:val="19"/>
        </w:rPr>
      </w:pPr>
    </w:p>
    <w:p w:rsidR="00642C92" w:rsidRPr="00642C92" w:rsidRDefault="00642C92" w:rsidP="00642C92">
      <w:pPr>
        <w:shd w:val="clear" w:color="auto" w:fill="FFFFFF"/>
        <w:spacing w:after="0" w:line="240" w:lineRule="auto"/>
        <w:rPr>
          <w:rFonts w:ascii="Tahoma" w:eastAsia="Times New Roman" w:hAnsi="Tahoma" w:cs="Tahoma"/>
          <w:color w:val="222222"/>
          <w:sz w:val="19"/>
          <w:szCs w:val="19"/>
        </w:rPr>
      </w:pPr>
      <w:r w:rsidRPr="00642C92">
        <w:rPr>
          <w:rFonts w:ascii="Tahoma" w:eastAsia="Times New Roman" w:hAnsi="Tahoma" w:cs="Tahoma"/>
          <w:color w:val="222222"/>
          <w:sz w:val="19"/>
          <w:szCs w:val="19"/>
        </w:rPr>
        <w:t>If your students want to choose a different path, you can go back and do the videos again.</w:t>
      </w:r>
    </w:p>
    <w:p w:rsidR="00642C92" w:rsidRPr="00642C92" w:rsidRDefault="00642C92" w:rsidP="00642C92">
      <w:pPr>
        <w:shd w:val="clear" w:color="auto" w:fill="FFFFFF"/>
        <w:spacing w:after="0" w:line="240" w:lineRule="auto"/>
        <w:rPr>
          <w:rFonts w:ascii="Tahoma" w:eastAsia="Times New Roman" w:hAnsi="Tahoma" w:cs="Tahoma"/>
          <w:color w:val="222222"/>
          <w:sz w:val="19"/>
          <w:szCs w:val="19"/>
        </w:rPr>
      </w:pPr>
    </w:p>
    <w:p w:rsidR="00642C92" w:rsidRPr="00642C92" w:rsidRDefault="00642C92" w:rsidP="00642C92">
      <w:pPr>
        <w:shd w:val="clear" w:color="auto" w:fill="FFFFFF"/>
        <w:spacing w:after="0" w:line="240" w:lineRule="auto"/>
        <w:rPr>
          <w:rFonts w:ascii="Tahoma" w:eastAsia="Times New Roman" w:hAnsi="Tahoma" w:cs="Tahoma"/>
          <w:color w:val="222222"/>
          <w:sz w:val="19"/>
          <w:szCs w:val="19"/>
        </w:rPr>
      </w:pPr>
      <w:r w:rsidRPr="00642C92">
        <w:rPr>
          <w:rFonts w:ascii="Tahoma" w:eastAsia="Times New Roman" w:hAnsi="Tahoma" w:cs="Tahoma"/>
          <w:color w:val="222222"/>
          <w:sz w:val="19"/>
          <w:szCs w:val="19"/>
        </w:rPr>
        <w:t>Lastly, go through the discussion questions on the website.</w:t>
      </w:r>
    </w:p>
    <w:p w:rsidR="00642C92" w:rsidRPr="00642C92" w:rsidRDefault="00642C92" w:rsidP="00642C92">
      <w:pPr>
        <w:numPr>
          <w:ilvl w:val="0"/>
          <w:numId w:val="1"/>
        </w:numPr>
        <w:shd w:val="clear" w:color="auto" w:fill="FFFFFF"/>
        <w:spacing w:before="100" w:beforeAutospacing="1" w:after="100" w:afterAutospacing="1" w:line="240" w:lineRule="auto"/>
        <w:ind w:left="945"/>
        <w:rPr>
          <w:rFonts w:ascii="Helvetica" w:eastAsia="Times New Roman" w:hAnsi="Helvetica" w:cs="Tahoma"/>
          <w:color w:val="333333"/>
          <w:sz w:val="26"/>
          <w:szCs w:val="26"/>
        </w:rPr>
      </w:pPr>
      <w:r w:rsidRPr="00642C92">
        <w:rPr>
          <w:rFonts w:ascii="Helvetica" w:eastAsia="Times New Roman" w:hAnsi="Helvetica" w:cs="Tahoma"/>
          <w:color w:val="333333"/>
          <w:sz w:val="26"/>
          <w:szCs w:val="26"/>
        </w:rPr>
        <w:t>What would you do if faced with the same situations as the characters?</w:t>
      </w:r>
    </w:p>
    <w:p w:rsidR="00642C92" w:rsidRPr="00642C92" w:rsidRDefault="00642C92" w:rsidP="00642C92">
      <w:pPr>
        <w:numPr>
          <w:ilvl w:val="0"/>
          <w:numId w:val="1"/>
        </w:numPr>
        <w:shd w:val="clear" w:color="auto" w:fill="FFFFFF"/>
        <w:spacing w:before="100" w:beforeAutospacing="1" w:after="100" w:afterAutospacing="1" w:line="240" w:lineRule="auto"/>
        <w:ind w:left="945"/>
        <w:rPr>
          <w:rFonts w:ascii="Helvetica" w:eastAsia="Times New Roman" w:hAnsi="Helvetica" w:cs="Tahoma"/>
          <w:color w:val="333333"/>
          <w:sz w:val="26"/>
          <w:szCs w:val="26"/>
        </w:rPr>
      </w:pPr>
      <w:r w:rsidRPr="00642C92">
        <w:rPr>
          <w:rFonts w:ascii="Helvetica" w:eastAsia="Times New Roman" w:hAnsi="Helvetica" w:cs="Tahoma"/>
          <w:color w:val="333333"/>
          <w:sz w:val="26"/>
          <w:szCs w:val="26"/>
        </w:rPr>
        <w:t>What are safe ways for the main characters to react to the stressful situations they face?</w:t>
      </w:r>
    </w:p>
    <w:p w:rsidR="00642C92" w:rsidRPr="00642C92" w:rsidRDefault="00642C92" w:rsidP="00642C92">
      <w:pPr>
        <w:numPr>
          <w:ilvl w:val="0"/>
          <w:numId w:val="1"/>
        </w:numPr>
        <w:shd w:val="clear" w:color="auto" w:fill="FFFFFF"/>
        <w:spacing w:before="100" w:beforeAutospacing="1" w:after="100" w:afterAutospacing="1" w:line="240" w:lineRule="auto"/>
        <w:ind w:left="945"/>
        <w:rPr>
          <w:rFonts w:ascii="Helvetica" w:eastAsia="Times New Roman" w:hAnsi="Helvetica" w:cs="Tahoma"/>
          <w:color w:val="333333"/>
          <w:sz w:val="26"/>
          <w:szCs w:val="26"/>
        </w:rPr>
      </w:pPr>
      <w:r w:rsidRPr="00642C92">
        <w:rPr>
          <w:rFonts w:ascii="Helvetica" w:eastAsia="Times New Roman" w:hAnsi="Helvetica" w:cs="Tahoma"/>
          <w:color w:val="333333"/>
          <w:sz w:val="26"/>
          <w:szCs w:val="26"/>
        </w:rPr>
        <w:t>What are the dangers of taking a friend’s or family member’s prescription drugs?</w:t>
      </w:r>
    </w:p>
    <w:p w:rsidR="00750D18" w:rsidRDefault="00750D18">
      <w:bookmarkStart w:id="0" w:name="_GoBack"/>
      <w:bookmarkEnd w:id="0"/>
    </w:p>
    <w:sectPr w:rsidR="0075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E2522"/>
    <w:multiLevelType w:val="multilevel"/>
    <w:tmpl w:val="603A2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92"/>
    <w:rsid w:val="00642C92"/>
    <w:rsid w:val="0075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42C92"/>
  </w:style>
  <w:style w:type="character" w:styleId="Hyperlink">
    <w:name w:val="Hyperlink"/>
    <w:basedOn w:val="DefaultParagraphFont"/>
    <w:uiPriority w:val="99"/>
    <w:semiHidden/>
    <w:unhideWhenUsed/>
    <w:rsid w:val="00642C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42C92"/>
  </w:style>
  <w:style w:type="character" w:styleId="Hyperlink">
    <w:name w:val="Hyperlink"/>
    <w:basedOn w:val="DefaultParagraphFont"/>
    <w:uiPriority w:val="99"/>
    <w:semiHidden/>
    <w:unhideWhenUsed/>
    <w:rsid w:val="00642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45978">
      <w:bodyDiv w:val="1"/>
      <w:marLeft w:val="0"/>
      <w:marRight w:val="0"/>
      <w:marTop w:val="0"/>
      <w:marBottom w:val="0"/>
      <w:divBdr>
        <w:top w:val="none" w:sz="0" w:space="0" w:color="auto"/>
        <w:left w:val="none" w:sz="0" w:space="0" w:color="auto"/>
        <w:bottom w:val="none" w:sz="0" w:space="0" w:color="auto"/>
        <w:right w:val="none" w:sz="0" w:space="0" w:color="auto"/>
      </w:divBdr>
      <w:divsChild>
        <w:div w:id="1419982573">
          <w:marLeft w:val="0"/>
          <w:marRight w:val="0"/>
          <w:marTop w:val="0"/>
          <w:marBottom w:val="0"/>
          <w:divBdr>
            <w:top w:val="none" w:sz="0" w:space="0" w:color="auto"/>
            <w:left w:val="none" w:sz="0" w:space="0" w:color="auto"/>
            <w:bottom w:val="none" w:sz="0" w:space="0" w:color="auto"/>
            <w:right w:val="none" w:sz="0" w:space="0" w:color="auto"/>
          </w:divBdr>
        </w:div>
        <w:div w:id="959190515">
          <w:marLeft w:val="0"/>
          <w:marRight w:val="0"/>
          <w:marTop w:val="0"/>
          <w:marBottom w:val="0"/>
          <w:divBdr>
            <w:top w:val="none" w:sz="0" w:space="0" w:color="auto"/>
            <w:left w:val="none" w:sz="0" w:space="0" w:color="auto"/>
            <w:bottom w:val="none" w:sz="0" w:space="0" w:color="auto"/>
            <w:right w:val="none" w:sz="0" w:space="0" w:color="auto"/>
          </w:divBdr>
        </w:div>
        <w:div w:id="151022807">
          <w:marLeft w:val="0"/>
          <w:marRight w:val="0"/>
          <w:marTop w:val="0"/>
          <w:marBottom w:val="0"/>
          <w:divBdr>
            <w:top w:val="none" w:sz="0" w:space="0" w:color="auto"/>
            <w:left w:val="none" w:sz="0" w:space="0" w:color="auto"/>
            <w:bottom w:val="none" w:sz="0" w:space="0" w:color="auto"/>
            <w:right w:val="none" w:sz="0" w:space="0" w:color="auto"/>
          </w:divBdr>
        </w:div>
        <w:div w:id="373507410">
          <w:marLeft w:val="0"/>
          <w:marRight w:val="0"/>
          <w:marTop w:val="0"/>
          <w:marBottom w:val="0"/>
          <w:divBdr>
            <w:top w:val="none" w:sz="0" w:space="0" w:color="auto"/>
            <w:left w:val="none" w:sz="0" w:space="0" w:color="auto"/>
            <w:bottom w:val="none" w:sz="0" w:space="0" w:color="auto"/>
            <w:right w:val="none" w:sz="0" w:space="0" w:color="auto"/>
          </w:divBdr>
        </w:div>
        <w:div w:id="1736201510">
          <w:marLeft w:val="0"/>
          <w:marRight w:val="0"/>
          <w:marTop w:val="0"/>
          <w:marBottom w:val="0"/>
          <w:divBdr>
            <w:top w:val="none" w:sz="0" w:space="0" w:color="auto"/>
            <w:left w:val="none" w:sz="0" w:space="0" w:color="auto"/>
            <w:bottom w:val="none" w:sz="0" w:space="0" w:color="auto"/>
            <w:right w:val="none" w:sz="0" w:space="0" w:color="auto"/>
          </w:divBdr>
        </w:div>
        <w:div w:id="710689635">
          <w:marLeft w:val="0"/>
          <w:marRight w:val="0"/>
          <w:marTop w:val="0"/>
          <w:marBottom w:val="0"/>
          <w:divBdr>
            <w:top w:val="none" w:sz="0" w:space="0" w:color="auto"/>
            <w:left w:val="none" w:sz="0" w:space="0" w:color="auto"/>
            <w:bottom w:val="none" w:sz="0" w:space="0" w:color="auto"/>
            <w:right w:val="none" w:sz="0" w:space="0" w:color="auto"/>
          </w:divBdr>
        </w:div>
        <w:div w:id="1016927921">
          <w:marLeft w:val="0"/>
          <w:marRight w:val="0"/>
          <w:marTop w:val="0"/>
          <w:marBottom w:val="0"/>
          <w:divBdr>
            <w:top w:val="none" w:sz="0" w:space="0" w:color="auto"/>
            <w:left w:val="none" w:sz="0" w:space="0" w:color="auto"/>
            <w:bottom w:val="none" w:sz="0" w:space="0" w:color="auto"/>
            <w:right w:val="none" w:sz="0" w:space="0" w:color="auto"/>
          </w:divBdr>
        </w:div>
        <w:div w:id="102115663">
          <w:marLeft w:val="0"/>
          <w:marRight w:val="0"/>
          <w:marTop w:val="0"/>
          <w:marBottom w:val="0"/>
          <w:divBdr>
            <w:top w:val="none" w:sz="0" w:space="0" w:color="auto"/>
            <w:left w:val="none" w:sz="0" w:space="0" w:color="auto"/>
            <w:bottom w:val="none" w:sz="0" w:space="0" w:color="auto"/>
            <w:right w:val="none" w:sz="0" w:space="0" w:color="auto"/>
          </w:divBdr>
        </w:div>
        <w:div w:id="1174687410">
          <w:marLeft w:val="0"/>
          <w:marRight w:val="0"/>
          <w:marTop w:val="0"/>
          <w:marBottom w:val="0"/>
          <w:divBdr>
            <w:top w:val="none" w:sz="0" w:space="0" w:color="auto"/>
            <w:left w:val="none" w:sz="0" w:space="0" w:color="auto"/>
            <w:bottom w:val="none" w:sz="0" w:space="0" w:color="auto"/>
            <w:right w:val="none" w:sz="0" w:space="0" w:color="auto"/>
          </w:divBdr>
        </w:div>
        <w:div w:id="282007280">
          <w:marLeft w:val="0"/>
          <w:marRight w:val="0"/>
          <w:marTop w:val="0"/>
          <w:marBottom w:val="0"/>
          <w:divBdr>
            <w:top w:val="none" w:sz="0" w:space="0" w:color="auto"/>
            <w:left w:val="none" w:sz="0" w:space="0" w:color="auto"/>
            <w:bottom w:val="none" w:sz="0" w:space="0" w:color="auto"/>
            <w:right w:val="none" w:sz="0" w:space="0" w:color="auto"/>
          </w:divBdr>
        </w:div>
        <w:div w:id="1895893083">
          <w:marLeft w:val="0"/>
          <w:marRight w:val="0"/>
          <w:marTop w:val="0"/>
          <w:marBottom w:val="0"/>
          <w:divBdr>
            <w:top w:val="none" w:sz="0" w:space="0" w:color="auto"/>
            <w:left w:val="none" w:sz="0" w:space="0" w:color="auto"/>
            <w:bottom w:val="none" w:sz="0" w:space="0" w:color="auto"/>
            <w:right w:val="none" w:sz="0" w:space="0" w:color="auto"/>
          </w:divBdr>
        </w:div>
        <w:div w:id="278724894">
          <w:marLeft w:val="0"/>
          <w:marRight w:val="0"/>
          <w:marTop w:val="0"/>
          <w:marBottom w:val="0"/>
          <w:divBdr>
            <w:top w:val="none" w:sz="0" w:space="0" w:color="auto"/>
            <w:left w:val="none" w:sz="0" w:space="0" w:color="auto"/>
            <w:bottom w:val="none" w:sz="0" w:space="0" w:color="auto"/>
            <w:right w:val="none" w:sz="0" w:space="0" w:color="auto"/>
          </w:divBdr>
        </w:div>
        <w:div w:id="1409230328">
          <w:marLeft w:val="0"/>
          <w:marRight w:val="0"/>
          <w:marTop w:val="0"/>
          <w:marBottom w:val="0"/>
          <w:divBdr>
            <w:top w:val="none" w:sz="0" w:space="0" w:color="auto"/>
            <w:left w:val="none" w:sz="0" w:space="0" w:color="auto"/>
            <w:bottom w:val="none" w:sz="0" w:space="0" w:color="auto"/>
            <w:right w:val="none" w:sz="0" w:space="0" w:color="auto"/>
          </w:divBdr>
        </w:div>
        <w:div w:id="607010324">
          <w:marLeft w:val="0"/>
          <w:marRight w:val="0"/>
          <w:marTop w:val="0"/>
          <w:marBottom w:val="0"/>
          <w:divBdr>
            <w:top w:val="none" w:sz="0" w:space="0" w:color="auto"/>
            <w:left w:val="none" w:sz="0" w:space="0" w:color="auto"/>
            <w:bottom w:val="none" w:sz="0" w:space="0" w:color="auto"/>
            <w:right w:val="none" w:sz="0" w:space="0" w:color="auto"/>
          </w:divBdr>
        </w:div>
        <w:div w:id="501313421">
          <w:marLeft w:val="0"/>
          <w:marRight w:val="0"/>
          <w:marTop w:val="0"/>
          <w:marBottom w:val="0"/>
          <w:divBdr>
            <w:top w:val="none" w:sz="0" w:space="0" w:color="auto"/>
            <w:left w:val="none" w:sz="0" w:space="0" w:color="auto"/>
            <w:bottom w:val="none" w:sz="0" w:space="0" w:color="auto"/>
            <w:right w:val="none" w:sz="0" w:space="0" w:color="auto"/>
          </w:divBdr>
        </w:div>
        <w:div w:id="815992172">
          <w:marLeft w:val="0"/>
          <w:marRight w:val="0"/>
          <w:marTop w:val="0"/>
          <w:marBottom w:val="0"/>
          <w:divBdr>
            <w:top w:val="none" w:sz="0" w:space="0" w:color="auto"/>
            <w:left w:val="none" w:sz="0" w:space="0" w:color="auto"/>
            <w:bottom w:val="none" w:sz="0" w:space="0" w:color="auto"/>
            <w:right w:val="none" w:sz="0" w:space="0" w:color="auto"/>
          </w:divBdr>
        </w:div>
        <w:div w:id="206539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ens.drugabuse.gov/teachers/lesson-plan-and-activity-finder/teacher-s-guide-prescription-drug-misuse-choose-your-pat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Putnam Community School Corporation</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Alspaugh</dc:creator>
  <cp:lastModifiedBy>Lauren Alspaugh</cp:lastModifiedBy>
  <cp:revision>1</cp:revision>
  <dcterms:created xsi:type="dcterms:W3CDTF">2017-12-12T16:24:00Z</dcterms:created>
  <dcterms:modified xsi:type="dcterms:W3CDTF">2017-12-12T16:24:00Z</dcterms:modified>
</cp:coreProperties>
</file>