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F1" w:rsidRPr="00DD216F" w:rsidRDefault="00DD216F">
      <w:bookmarkStart w:id="0" w:name="_GoBack"/>
      <w:bookmarkEnd w:id="0"/>
      <w:r w:rsidRPr="005F606C">
        <w:rPr>
          <w:b/>
          <w:i/>
        </w:rPr>
        <w:t>“Restorative” means to believe that decisions are best made and conflicts are best resolved by those most directly involved in them.  The restorative practices movement seeks to develop good relationships and restore a sense of community in an increasingly disconnected world.”</w:t>
      </w:r>
      <w:r w:rsidRPr="00DD216F">
        <w:rPr>
          <w:i/>
        </w:rPr>
        <w:t xml:space="preserve"> </w:t>
      </w:r>
      <w:r>
        <w:rPr>
          <w:i/>
        </w:rPr>
        <w:t xml:space="preserve"> </w:t>
      </w:r>
      <w:r w:rsidRPr="00DD216F">
        <w:t>(</w:t>
      </w:r>
      <w:proofErr w:type="gramStart"/>
      <w:r w:rsidRPr="00DD216F">
        <w:t>from</w:t>
      </w:r>
      <w:proofErr w:type="gramEnd"/>
      <w:r w:rsidRPr="00DD216F">
        <w:t xml:space="preserve"> </w:t>
      </w:r>
      <w:r w:rsidRPr="005F606C">
        <w:rPr>
          <w:u w:val="single"/>
        </w:rPr>
        <w:t>The R</w:t>
      </w:r>
      <w:r w:rsidR="005F606C">
        <w:rPr>
          <w:u w:val="single"/>
        </w:rPr>
        <w:t xml:space="preserve">estorative Practices Handbook </w:t>
      </w:r>
      <w:r w:rsidRPr="005F606C">
        <w:rPr>
          <w:u w:val="single"/>
        </w:rPr>
        <w:t>for Teachers, Disciplinarians and Administrators</w:t>
      </w:r>
      <w:r w:rsidR="005F606C">
        <w:rPr>
          <w:u w:val="single"/>
        </w:rPr>
        <w:t>:  Building a Culture of Community in Schools</w:t>
      </w:r>
      <w:r w:rsidRPr="00DD216F">
        <w:t xml:space="preserve"> by Bob Costello, Joshua </w:t>
      </w:r>
      <w:proofErr w:type="spellStart"/>
      <w:r w:rsidRPr="00DD216F">
        <w:t>Wachtel</w:t>
      </w:r>
      <w:proofErr w:type="spellEnd"/>
      <w:r w:rsidRPr="00DD216F">
        <w:t xml:space="preserve"> and Ted </w:t>
      </w:r>
      <w:proofErr w:type="spellStart"/>
      <w:r w:rsidRPr="00DD216F">
        <w:t>Wachtel</w:t>
      </w:r>
      <w:proofErr w:type="spellEnd"/>
      <w:r w:rsidRPr="00DD216F">
        <w:t>)</w:t>
      </w:r>
    </w:p>
    <w:p w:rsidR="00DD216F" w:rsidRPr="00DD216F" w:rsidRDefault="00DD216F">
      <w:pPr>
        <w:rPr>
          <w:i/>
        </w:rPr>
      </w:pPr>
    </w:p>
    <w:p w:rsidR="00DD216F" w:rsidRPr="00DD216F" w:rsidRDefault="00DD216F" w:rsidP="00DD216F">
      <w:pPr>
        <w:jc w:val="center"/>
        <w:rPr>
          <w:b/>
          <w:sz w:val="32"/>
          <w:szCs w:val="32"/>
        </w:rPr>
      </w:pPr>
      <w:r w:rsidRPr="00DD216F">
        <w:rPr>
          <w:b/>
          <w:sz w:val="32"/>
          <w:szCs w:val="32"/>
        </w:rPr>
        <w:t>The Restorative Practices Continuum</w:t>
      </w:r>
    </w:p>
    <w:p w:rsidR="00DD216F" w:rsidRDefault="00DD216F"/>
    <w:tbl>
      <w:tblPr>
        <w:tblStyle w:val="TableGrid"/>
        <w:tblW w:w="0" w:type="auto"/>
        <w:tblLook w:val="04A0" w:firstRow="1" w:lastRow="0" w:firstColumn="1" w:lastColumn="0" w:noHBand="0" w:noVBand="1"/>
      </w:tblPr>
      <w:tblGrid>
        <w:gridCol w:w="985"/>
        <w:gridCol w:w="2302"/>
        <w:gridCol w:w="3136"/>
        <w:gridCol w:w="2927"/>
      </w:tblGrid>
      <w:tr w:rsidR="00DD216F" w:rsidRPr="005C248A" w:rsidTr="00DD216F">
        <w:tc>
          <w:tcPr>
            <w:tcW w:w="985" w:type="dxa"/>
            <w:shd w:val="clear" w:color="auto" w:fill="A6A6A6" w:themeFill="background1" w:themeFillShade="A6"/>
          </w:tcPr>
          <w:p w:rsidR="00DD216F" w:rsidRPr="005C248A" w:rsidRDefault="00DD216F">
            <w:pPr>
              <w:rPr>
                <w:sz w:val="20"/>
                <w:szCs w:val="20"/>
              </w:rPr>
            </w:pPr>
          </w:p>
        </w:tc>
        <w:tc>
          <w:tcPr>
            <w:tcW w:w="2302" w:type="dxa"/>
            <w:shd w:val="clear" w:color="auto" w:fill="A6A6A6" w:themeFill="background1" w:themeFillShade="A6"/>
          </w:tcPr>
          <w:p w:rsidR="00DD216F" w:rsidRPr="005C248A" w:rsidRDefault="00DD216F" w:rsidP="00DD216F">
            <w:pPr>
              <w:jc w:val="center"/>
              <w:rPr>
                <w:b/>
                <w:sz w:val="20"/>
                <w:szCs w:val="20"/>
              </w:rPr>
            </w:pPr>
            <w:r w:rsidRPr="005C248A">
              <w:rPr>
                <w:b/>
                <w:sz w:val="20"/>
                <w:szCs w:val="20"/>
              </w:rPr>
              <w:t>What it is</w:t>
            </w:r>
          </w:p>
        </w:tc>
        <w:tc>
          <w:tcPr>
            <w:tcW w:w="3136" w:type="dxa"/>
            <w:shd w:val="clear" w:color="auto" w:fill="A6A6A6" w:themeFill="background1" w:themeFillShade="A6"/>
          </w:tcPr>
          <w:p w:rsidR="00DD216F" w:rsidRPr="005C248A" w:rsidRDefault="00DD216F" w:rsidP="00DD216F">
            <w:pPr>
              <w:jc w:val="center"/>
              <w:rPr>
                <w:b/>
                <w:sz w:val="20"/>
                <w:szCs w:val="20"/>
              </w:rPr>
            </w:pPr>
            <w:r w:rsidRPr="005C248A">
              <w:rPr>
                <w:b/>
                <w:sz w:val="20"/>
                <w:szCs w:val="20"/>
              </w:rPr>
              <w:t>What it looks like in practice</w:t>
            </w:r>
          </w:p>
        </w:tc>
        <w:tc>
          <w:tcPr>
            <w:tcW w:w="2927" w:type="dxa"/>
            <w:shd w:val="clear" w:color="auto" w:fill="A6A6A6" w:themeFill="background1" w:themeFillShade="A6"/>
          </w:tcPr>
          <w:p w:rsidR="00DD216F" w:rsidRPr="005C248A" w:rsidRDefault="00DD216F" w:rsidP="00DD216F">
            <w:pPr>
              <w:jc w:val="center"/>
              <w:rPr>
                <w:b/>
                <w:sz w:val="20"/>
                <w:szCs w:val="20"/>
              </w:rPr>
            </w:pPr>
            <w:r w:rsidRPr="005C248A">
              <w:rPr>
                <w:b/>
                <w:sz w:val="20"/>
                <w:szCs w:val="20"/>
              </w:rPr>
              <w:t>Where it takes place</w:t>
            </w:r>
          </w:p>
        </w:tc>
      </w:tr>
      <w:tr w:rsidR="00DD216F" w:rsidRPr="005C248A" w:rsidTr="00DD216F">
        <w:tc>
          <w:tcPr>
            <w:tcW w:w="985" w:type="dxa"/>
            <w:shd w:val="clear" w:color="auto" w:fill="A6A6A6" w:themeFill="background1" w:themeFillShade="A6"/>
          </w:tcPr>
          <w:p w:rsidR="00DD216F" w:rsidRPr="005C248A" w:rsidRDefault="00DD216F">
            <w:pPr>
              <w:rPr>
                <w:b/>
                <w:sz w:val="20"/>
                <w:szCs w:val="20"/>
              </w:rPr>
            </w:pPr>
            <w:r w:rsidRPr="005C248A">
              <w:rPr>
                <w:b/>
                <w:sz w:val="20"/>
                <w:szCs w:val="20"/>
              </w:rPr>
              <w:t>Step 1</w:t>
            </w:r>
          </w:p>
        </w:tc>
        <w:tc>
          <w:tcPr>
            <w:tcW w:w="2302" w:type="dxa"/>
          </w:tcPr>
          <w:p w:rsidR="00DD216F" w:rsidRPr="005C248A" w:rsidRDefault="00DD216F">
            <w:pPr>
              <w:rPr>
                <w:sz w:val="20"/>
                <w:szCs w:val="20"/>
              </w:rPr>
            </w:pPr>
            <w:r w:rsidRPr="005C248A">
              <w:rPr>
                <w:sz w:val="20"/>
                <w:szCs w:val="20"/>
              </w:rPr>
              <w:t>Affective Statements</w:t>
            </w:r>
          </w:p>
        </w:tc>
        <w:tc>
          <w:tcPr>
            <w:tcW w:w="3136" w:type="dxa"/>
          </w:tcPr>
          <w:p w:rsidR="00DD216F" w:rsidRPr="005C248A" w:rsidRDefault="00DD216F">
            <w:pPr>
              <w:rPr>
                <w:sz w:val="20"/>
                <w:szCs w:val="20"/>
              </w:rPr>
            </w:pPr>
            <w:r w:rsidRPr="005C248A">
              <w:rPr>
                <w:sz w:val="20"/>
                <w:szCs w:val="20"/>
              </w:rPr>
              <w:t xml:space="preserve">Expressing your feelings; Can be used to acknowledge success, hard work, collaboration or any other desirable behavior.  It can also be used to express concern for inappropriate behavior </w:t>
            </w:r>
          </w:p>
        </w:tc>
        <w:tc>
          <w:tcPr>
            <w:tcW w:w="2927" w:type="dxa"/>
          </w:tcPr>
          <w:p w:rsidR="00DD216F" w:rsidRPr="005C248A" w:rsidRDefault="00DD216F">
            <w:pPr>
              <w:rPr>
                <w:sz w:val="20"/>
                <w:szCs w:val="20"/>
              </w:rPr>
            </w:pPr>
            <w:r w:rsidRPr="005C248A">
              <w:rPr>
                <w:sz w:val="20"/>
                <w:szCs w:val="20"/>
              </w:rPr>
              <w:t>Classroom, playground, cafeteria, gymnasium</w:t>
            </w:r>
            <w:r w:rsidR="005F606C" w:rsidRPr="005C248A">
              <w:rPr>
                <w:sz w:val="20"/>
                <w:szCs w:val="20"/>
              </w:rPr>
              <w:t>, hallway</w:t>
            </w:r>
            <w:r w:rsidRPr="005C248A">
              <w:rPr>
                <w:sz w:val="20"/>
                <w:szCs w:val="20"/>
              </w:rPr>
              <w:t xml:space="preserve"> (delivered privately)</w:t>
            </w:r>
          </w:p>
        </w:tc>
      </w:tr>
      <w:tr w:rsidR="00DD216F" w:rsidRPr="005C248A" w:rsidTr="00DD216F">
        <w:tc>
          <w:tcPr>
            <w:tcW w:w="985" w:type="dxa"/>
            <w:shd w:val="clear" w:color="auto" w:fill="A6A6A6" w:themeFill="background1" w:themeFillShade="A6"/>
          </w:tcPr>
          <w:p w:rsidR="00DD216F" w:rsidRPr="005C248A" w:rsidRDefault="00DD216F">
            <w:pPr>
              <w:rPr>
                <w:b/>
                <w:sz w:val="20"/>
                <w:szCs w:val="20"/>
              </w:rPr>
            </w:pPr>
            <w:r w:rsidRPr="005C248A">
              <w:rPr>
                <w:b/>
                <w:sz w:val="20"/>
                <w:szCs w:val="20"/>
              </w:rPr>
              <w:t>Step 2</w:t>
            </w:r>
          </w:p>
        </w:tc>
        <w:tc>
          <w:tcPr>
            <w:tcW w:w="2302" w:type="dxa"/>
          </w:tcPr>
          <w:p w:rsidR="00DD216F" w:rsidRPr="005C248A" w:rsidRDefault="00DD216F">
            <w:pPr>
              <w:rPr>
                <w:sz w:val="20"/>
                <w:szCs w:val="20"/>
              </w:rPr>
            </w:pPr>
            <w:r w:rsidRPr="005C248A">
              <w:rPr>
                <w:sz w:val="20"/>
                <w:szCs w:val="20"/>
              </w:rPr>
              <w:t>Affective questions</w:t>
            </w:r>
          </w:p>
        </w:tc>
        <w:tc>
          <w:tcPr>
            <w:tcW w:w="3136" w:type="dxa"/>
          </w:tcPr>
          <w:p w:rsidR="00DD216F" w:rsidRPr="005C248A" w:rsidRDefault="005F606C">
            <w:pPr>
              <w:rPr>
                <w:sz w:val="20"/>
                <w:szCs w:val="20"/>
              </w:rPr>
            </w:pPr>
            <w:r w:rsidRPr="005C248A">
              <w:rPr>
                <w:sz w:val="20"/>
                <w:szCs w:val="20"/>
              </w:rPr>
              <w:t>Asking questions that help the student work through the issue(s) they are having in the moment</w:t>
            </w:r>
          </w:p>
        </w:tc>
        <w:tc>
          <w:tcPr>
            <w:tcW w:w="2927" w:type="dxa"/>
          </w:tcPr>
          <w:p w:rsidR="00DD216F" w:rsidRPr="005C248A" w:rsidRDefault="005F606C">
            <w:pPr>
              <w:rPr>
                <w:sz w:val="20"/>
                <w:szCs w:val="20"/>
              </w:rPr>
            </w:pPr>
            <w:r w:rsidRPr="005C248A">
              <w:rPr>
                <w:sz w:val="20"/>
                <w:szCs w:val="20"/>
              </w:rPr>
              <w:t>Classroom, playground, cafeteria, gymnasium, hallway (delivered privately)</w:t>
            </w:r>
          </w:p>
        </w:tc>
      </w:tr>
      <w:tr w:rsidR="00DD216F" w:rsidRPr="005C248A" w:rsidTr="00DD216F">
        <w:tc>
          <w:tcPr>
            <w:tcW w:w="985" w:type="dxa"/>
            <w:shd w:val="clear" w:color="auto" w:fill="A6A6A6" w:themeFill="background1" w:themeFillShade="A6"/>
          </w:tcPr>
          <w:p w:rsidR="00DD216F" w:rsidRPr="005C248A" w:rsidRDefault="00DD216F">
            <w:pPr>
              <w:rPr>
                <w:b/>
                <w:sz w:val="20"/>
                <w:szCs w:val="20"/>
              </w:rPr>
            </w:pPr>
            <w:r w:rsidRPr="005C248A">
              <w:rPr>
                <w:b/>
                <w:sz w:val="20"/>
                <w:szCs w:val="20"/>
              </w:rPr>
              <w:t>Step 3</w:t>
            </w:r>
          </w:p>
        </w:tc>
        <w:tc>
          <w:tcPr>
            <w:tcW w:w="2302" w:type="dxa"/>
          </w:tcPr>
          <w:p w:rsidR="00DD216F" w:rsidRPr="005C248A" w:rsidRDefault="005F606C">
            <w:pPr>
              <w:rPr>
                <w:sz w:val="20"/>
                <w:szCs w:val="20"/>
              </w:rPr>
            </w:pPr>
            <w:r w:rsidRPr="005C248A">
              <w:rPr>
                <w:sz w:val="20"/>
                <w:szCs w:val="20"/>
              </w:rPr>
              <w:t>Small Impromptu conferences</w:t>
            </w:r>
          </w:p>
        </w:tc>
        <w:tc>
          <w:tcPr>
            <w:tcW w:w="3136" w:type="dxa"/>
          </w:tcPr>
          <w:p w:rsidR="00DD216F" w:rsidRPr="005C248A" w:rsidRDefault="005F606C">
            <w:pPr>
              <w:rPr>
                <w:sz w:val="20"/>
                <w:szCs w:val="20"/>
              </w:rPr>
            </w:pPr>
            <w:r w:rsidRPr="005C248A">
              <w:rPr>
                <w:sz w:val="20"/>
                <w:szCs w:val="20"/>
              </w:rPr>
              <w:t>Addressing a problem to keep it from escalating and to resolve the problem quickly, but in a way that gets students actively engaged in expressing their feelings and in thinking about the impact of their behavior and about how to resolve the conflicts</w:t>
            </w:r>
          </w:p>
        </w:tc>
        <w:tc>
          <w:tcPr>
            <w:tcW w:w="2927" w:type="dxa"/>
          </w:tcPr>
          <w:p w:rsidR="00DD216F" w:rsidRPr="005C248A" w:rsidRDefault="005F606C">
            <w:pPr>
              <w:rPr>
                <w:sz w:val="20"/>
                <w:szCs w:val="20"/>
              </w:rPr>
            </w:pPr>
            <w:r w:rsidRPr="005C248A">
              <w:rPr>
                <w:sz w:val="20"/>
                <w:szCs w:val="20"/>
              </w:rPr>
              <w:t>Classroom, playground, cafeteria, gymnasium, hallway (delivered privately)</w:t>
            </w:r>
          </w:p>
        </w:tc>
      </w:tr>
      <w:tr w:rsidR="00DD216F" w:rsidRPr="005C248A" w:rsidTr="00DD216F">
        <w:tc>
          <w:tcPr>
            <w:tcW w:w="985" w:type="dxa"/>
            <w:shd w:val="clear" w:color="auto" w:fill="A6A6A6" w:themeFill="background1" w:themeFillShade="A6"/>
          </w:tcPr>
          <w:p w:rsidR="00DD216F" w:rsidRPr="005C248A" w:rsidRDefault="00DD216F">
            <w:pPr>
              <w:rPr>
                <w:b/>
                <w:sz w:val="20"/>
                <w:szCs w:val="20"/>
              </w:rPr>
            </w:pPr>
            <w:r w:rsidRPr="005C248A">
              <w:rPr>
                <w:b/>
                <w:sz w:val="20"/>
                <w:szCs w:val="20"/>
              </w:rPr>
              <w:t>Step 4</w:t>
            </w:r>
          </w:p>
        </w:tc>
        <w:tc>
          <w:tcPr>
            <w:tcW w:w="2302" w:type="dxa"/>
          </w:tcPr>
          <w:p w:rsidR="00DD216F" w:rsidRPr="005C248A" w:rsidRDefault="005F606C">
            <w:pPr>
              <w:rPr>
                <w:sz w:val="20"/>
                <w:szCs w:val="20"/>
              </w:rPr>
            </w:pPr>
            <w:r w:rsidRPr="005C248A">
              <w:rPr>
                <w:sz w:val="20"/>
                <w:szCs w:val="20"/>
              </w:rPr>
              <w:t>Circles</w:t>
            </w:r>
          </w:p>
        </w:tc>
        <w:tc>
          <w:tcPr>
            <w:tcW w:w="3136" w:type="dxa"/>
          </w:tcPr>
          <w:p w:rsidR="00DD216F" w:rsidRPr="005C248A" w:rsidRDefault="005F606C">
            <w:pPr>
              <w:rPr>
                <w:sz w:val="20"/>
                <w:szCs w:val="20"/>
              </w:rPr>
            </w:pPr>
            <w:r w:rsidRPr="005C248A">
              <w:rPr>
                <w:sz w:val="20"/>
                <w:szCs w:val="20"/>
              </w:rPr>
              <w:t>A proactive process for building social capital and creating classroom norms.  They can also be used as a response to wrongdoing.  (A talking piece is helpful in this process.)</w:t>
            </w:r>
          </w:p>
        </w:tc>
        <w:tc>
          <w:tcPr>
            <w:tcW w:w="2927" w:type="dxa"/>
          </w:tcPr>
          <w:p w:rsidR="005F606C" w:rsidRPr="005C248A" w:rsidRDefault="005F606C">
            <w:pPr>
              <w:rPr>
                <w:sz w:val="20"/>
                <w:szCs w:val="20"/>
              </w:rPr>
            </w:pPr>
            <w:r w:rsidRPr="005C248A">
              <w:rPr>
                <w:sz w:val="20"/>
                <w:szCs w:val="20"/>
              </w:rPr>
              <w:t>Small group, whole class</w:t>
            </w:r>
          </w:p>
        </w:tc>
      </w:tr>
      <w:tr w:rsidR="00DD216F" w:rsidRPr="005C248A" w:rsidTr="00DD216F">
        <w:tc>
          <w:tcPr>
            <w:tcW w:w="985" w:type="dxa"/>
            <w:shd w:val="clear" w:color="auto" w:fill="A6A6A6" w:themeFill="background1" w:themeFillShade="A6"/>
          </w:tcPr>
          <w:p w:rsidR="00DD216F" w:rsidRPr="005C248A" w:rsidRDefault="00DD216F">
            <w:pPr>
              <w:rPr>
                <w:b/>
                <w:sz w:val="20"/>
                <w:szCs w:val="20"/>
              </w:rPr>
            </w:pPr>
            <w:r w:rsidRPr="005C248A">
              <w:rPr>
                <w:b/>
                <w:sz w:val="20"/>
                <w:szCs w:val="20"/>
              </w:rPr>
              <w:t>Step 5</w:t>
            </w:r>
          </w:p>
        </w:tc>
        <w:tc>
          <w:tcPr>
            <w:tcW w:w="2302" w:type="dxa"/>
          </w:tcPr>
          <w:p w:rsidR="00DD216F" w:rsidRPr="005C248A" w:rsidRDefault="005C248A">
            <w:pPr>
              <w:rPr>
                <w:sz w:val="20"/>
                <w:szCs w:val="20"/>
              </w:rPr>
            </w:pPr>
            <w:r w:rsidRPr="005C248A">
              <w:rPr>
                <w:sz w:val="20"/>
                <w:szCs w:val="20"/>
              </w:rPr>
              <w:t>Formal conferences</w:t>
            </w:r>
          </w:p>
        </w:tc>
        <w:tc>
          <w:tcPr>
            <w:tcW w:w="3136" w:type="dxa"/>
          </w:tcPr>
          <w:p w:rsidR="005C248A" w:rsidRPr="005C248A" w:rsidRDefault="005C248A">
            <w:pPr>
              <w:rPr>
                <w:sz w:val="20"/>
                <w:szCs w:val="20"/>
              </w:rPr>
            </w:pPr>
            <w:r w:rsidRPr="005C248A">
              <w:rPr>
                <w:b/>
                <w:sz w:val="20"/>
                <w:szCs w:val="20"/>
              </w:rPr>
              <w:t>Restorative conferences</w:t>
            </w:r>
            <w:r w:rsidRPr="005C248A">
              <w:rPr>
                <w:sz w:val="20"/>
                <w:szCs w:val="20"/>
              </w:rPr>
              <w:t xml:space="preserve">—Formal responses to wrongdoing where all those involved and affected by an incident come together with a  trained facilitator to explore what happened, who was affected and what needs to be done to make things right.   </w:t>
            </w:r>
          </w:p>
          <w:p w:rsidR="00DD216F" w:rsidRPr="005C248A" w:rsidRDefault="005C248A">
            <w:pPr>
              <w:rPr>
                <w:sz w:val="20"/>
                <w:szCs w:val="20"/>
              </w:rPr>
            </w:pPr>
            <w:r w:rsidRPr="005C248A">
              <w:rPr>
                <w:b/>
                <w:sz w:val="20"/>
                <w:szCs w:val="20"/>
              </w:rPr>
              <w:t>Family Group Decision-making—</w:t>
            </w:r>
            <w:r w:rsidRPr="005C248A">
              <w:rPr>
                <w:sz w:val="20"/>
                <w:szCs w:val="20"/>
              </w:rPr>
              <w:t xml:space="preserve">High level of family involvement and often include extended family and friends. The important part of this process is “family alone time”. </w:t>
            </w:r>
          </w:p>
        </w:tc>
        <w:tc>
          <w:tcPr>
            <w:tcW w:w="2927" w:type="dxa"/>
          </w:tcPr>
          <w:p w:rsidR="00DD216F" w:rsidRPr="005C248A" w:rsidRDefault="005C248A">
            <w:pPr>
              <w:rPr>
                <w:sz w:val="20"/>
                <w:szCs w:val="20"/>
              </w:rPr>
            </w:pPr>
            <w:r w:rsidRPr="005C248A">
              <w:rPr>
                <w:sz w:val="20"/>
                <w:szCs w:val="20"/>
              </w:rPr>
              <w:t xml:space="preserve">Small group </w:t>
            </w:r>
          </w:p>
        </w:tc>
      </w:tr>
    </w:tbl>
    <w:p w:rsidR="00DD216F" w:rsidRDefault="00DD216F"/>
    <w:sectPr w:rsidR="00DD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6F"/>
    <w:rsid w:val="00060BD2"/>
    <w:rsid w:val="00545814"/>
    <w:rsid w:val="00596AB4"/>
    <w:rsid w:val="005C248A"/>
    <w:rsid w:val="005F606C"/>
    <w:rsid w:val="00DD216F"/>
    <w:rsid w:val="00FF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423BB-FAC3-4897-9474-C33CF970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606C"/>
    <w:rPr>
      <w:sz w:val="16"/>
      <w:szCs w:val="16"/>
    </w:rPr>
  </w:style>
  <w:style w:type="paragraph" w:styleId="CommentText">
    <w:name w:val="annotation text"/>
    <w:basedOn w:val="Normal"/>
    <w:link w:val="CommentTextChar"/>
    <w:uiPriority w:val="99"/>
    <w:semiHidden/>
    <w:unhideWhenUsed/>
    <w:rsid w:val="005F606C"/>
    <w:rPr>
      <w:sz w:val="20"/>
      <w:szCs w:val="20"/>
    </w:rPr>
  </w:style>
  <w:style w:type="character" w:customStyle="1" w:styleId="CommentTextChar">
    <w:name w:val="Comment Text Char"/>
    <w:basedOn w:val="DefaultParagraphFont"/>
    <w:link w:val="CommentText"/>
    <w:uiPriority w:val="99"/>
    <w:semiHidden/>
    <w:rsid w:val="005F606C"/>
    <w:rPr>
      <w:sz w:val="20"/>
      <w:szCs w:val="20"/>
    </w:rPr>
  </w:style>
  <w:style w:type="paragraph" w:styleId="CommentSubject">
    <w:name w:val="annotation subject"/>
    <w:basedOn w:val="CommentText"/>
    <w:next w:val="CommentText"/>
    <w:link w:val="CommentSubjectChar"/>
    <w:uiPriority w:val="99"/>
    <w:semiHidden/>
    <w:unhideWhenUsed/>
    <w:rsid w:val="005F606C"/>
    <w:rPr>
      <w:b/>
      <w:bCs/>
    </w:rPr>
  </w:style>
  <w:style w:type="character" w:customStyle="1" w:styleId="CommentSubjectChar">
    <w:name w:val="Comment Subject Char"/>
    <w:basedOn w:val="CommentTextChar"/>
    <w:link w:val="CommentSubject"/>
    <w:uiPriority w:val="99"/>
    <w:semiHidden/>
    <w:rsid w:val="005F606C"/>
    <w:rPr>
      <w:b/>
      <w:bCs/>
      <w:sz w:val="20"/>
      <w:szCs w:val="20"/>
    </w:rPr>
  </w:style>
  <w:style w:type="paragraph" w:styleId="BalloonText">
    <w:name w:val="Balloon Text"/>
    <w:basedOn w:val="Normal"/>
    <w:link w:val="BalloonTextChar"/>
    <w:uiPriority w:val="99"/>
    <w:semiHidden/>
    <w:unhideWhenUsed/>
    <w:rsid w:val="005F6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Mallory Reed</cp:lastModifiedBy>
  <cp:revision>2</cp:revision>
  <dcterms:created xsi:type="dcterms:W3CDTF">2018-04-12T13:11:00Z</dcterms:created>
  <dcterms:modified xsi:type="dcterms:W3CDTF">2018-04-12T13:11:00Z</dcterms:modified>
</cp:coreProperties>
</file>