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F1AFB" w14:textId="14F92B80" w:rsidR="0086771C" w:rsidRPr="00A80FFF" w:rsidRDefault="00A80FFF" w:rsidP="00AB2A59">
      <w:pPr>
        <w:pStyle w:val="Body"/>
        <w:pBdr>
          <w:top w:val="none" w:sz="0" w:space="0" w:color="auto"/>
        </w:pBdr>
        <w:rPr>
          <w:b/>
        </w:rPr>
      </w:pPr>
      <w:bookmarkStart w:id="0" w:name="_GoBack"/>
      <w:bookmarkEnd w:id="0"/>
      <w:r w:rsidRPr="00A80FFF">
        <w:rPr>
          <w:b/>
        </w:rPr>
        <w:t>MEMORANDUM</w:t>
      </w:r>
    </w:p>
    <w:p w14:paraId="3606816D" w14:textId="77777777" w:rsidR="00A80FFF" w:rsidRPr="00A80FFF" w:rsidRDefault="00A80FFF" w:rsidP="00AB2A59">
      <w:pPr>
        <w:pStyle w:val="Body"/>
        <w:pBdr>
          <w:top w:val="none" w:sz="0" w:space="0" w:color="auto"/>
        </w:pBdr>
        <w:rPr>
          <w:b/>
        </w:rPr>
      </w:pPr>
    </w:p>
    <w:p w14:paraId="32A007B8" w14:textId="22D61E54" w:rsidR="00A80FFF" w:rsidRPr="00A80FFF" w:rsidRDefault="00A80FFF" w:rsidP="00AB2A59">
      <w:pPr>
        <w:pStyle w:val="Body"/>
        <w:pBdr>
          <w:top w:val="none" w:sz="0" w:space="0" w:color="auto"/>
        </w:pBdr>
      </w:pPr>
      <w:r w:rsidRPr="00A80FFF">
        <w:rPr>
          <w:b/>
        </w:rPr>
        <w:t>TO:</w:t>
      </w:r>
      <w:r>
        <w:tab/>
      </w:r>
      <w:r>
        <w:tab/>
        <w:t xml:space="preserve">Superintendents, Principals, </w:t>
      </w:r>
      <w:proofErr w:type="gramStart"/>
      <w:r>
        <w:t>School</w:t>
      </w:r>
      <w:proofErr w:type="gramEnd"/>
      <w:r>
        <w:t xml:space="preserve"> Leaders</w:t>
      </w:r>
    </w:p>
    <w:p w14:paraId="7E6A85E3" w14:textId="44CAD6F9" w:rsidR="00A80FFF" w:rsidRPr="00A80FFF" w:rsidRDefault="00A80FFF" w:rsidP="00AB2A59">
      <w:pPr>
        <w:pStyle w:val="Body"/>
        <w:pBdr>
          <w:top w:val="none" w:sz="0" w:space="0" w:color="auto"/>
        </w:pBdr>
      </w:pPr>
      <w:r w:rsidRPr="00A80FFF">
        <w:rPr>
          <w:b/>
        </w:rPr>
        <w:t>FROM:</w:t>
      </w:r>
      <w:r>
        <w:rPr>
          <w:b/>
        </w:rPr>
        <w:tab/>
      </w:r>
      <w:r>
        <w:t>Indiana Department of Education</w:t>
      </w:r>
    </w:p>
    <w:p w14:paraId="140F1450" w14:textId="4B9EFA7D" w:rsidR="00A80FFF" w:rsidRPr="00A80FFF" w:rsidRDefault="00A80FFF" w:rsidP="00AB2A59">
      <w:pPr>
        <w:pStyle w:val="Body"/>
        <w:pBdr>
          <w:top w:val="none" w:sz="0" w:space="0" w:color="auto"/>
        </w:pBdr>
      </w:pPr>
      <w:r w:rsidRPr="00A80FFF"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Graduation Requirements for the 2019 – 2022 Cohorts</w:t>
      </w:r>
    </w:p>
    <w:p w14:paraId="5F94A4C1" w14:textId="46C4C6E1" w:rsidR="00A80FFF" w:rsidRPr="00A80FFF" w:rsidRDefault="00A80FFF" w:rsidP="00AB2A59">
      <w:pPr>
        <w:pStyle w:val="Body"/>
        <w:pBdr>
          <w:top w:val="none" w:sz="0" w:space="0" w:color="auto"/>
        </w:pBdr>
      </w:pPr>
      <w:r w:rsidRPr="00A80FFF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t>June 20, 2018</w:t>
      </w:r>
    </w:p>
    <w:p w14:paraId="40CA0813" w14:textId="38A019AB" w:rsidR="00A80FFF" w:rsidRDefault="00A80FFF" w:rsidP="00AB2A59">
      <w:pPr>
        <w:pStyle w:val="Body"/>
        <w:pBdr>
          <w:top w:val="none" w:sz="0" w:space="0" w:color="auto"/>
          <w:bottom w:val="single" w:sz="12" w:space="1" w:color="auto"/>
        </w:pBdr>
      </w:pPr>
    </w:p>
    <w:p w14:paraId="7E3C39BE" w14:textId="77777777" w:rsidR="00A80FFF" w:rsidRDefault="00A80FFF" w:rsidP="00AB2A59">
      <w:pPr>
        <w:pStyle w:val="Body"/>
        <w:pBdr>
          <w:top w:val="none" w:sz="0" w:space="0" w:color="auto"/>
        </w:pBdr>
      </w:pPr>
    </w:p>
    <w:p w14:paraId="3423CFFF" w14:textId="10D03887" w:rsidR="009D107C" w:rsidRDefault="00A80FFF" w:rsidP="00AB2A59">
      <w:pPr>
        <w:pStyle w:val="Body"/>
        <w:pBdr>
          <w:top w:val="none" w:sz="0" w:space="0" w:color="auto"/>
        </w:pBdr>
      </w:pPr>
      <w:r>
        <w:t>Public Law 192-2018 amended the graduation requi</w:t>
      </w:r>
      <w:r w:rsidR="00A224A1">
        <w:t>rements for students in the 2019</w:t>
      </w:r>
      <w:r>
        <w:t xml:space="preserve"> through 2022 cohorts to allow these students to meet such graduation requirements by passing the graduation qualifying exam </w:t>
      </w:r>
      <w:r w:rsidR="009D107C">
        <w:t xml:space="preserve">(GQE) </w:t>
      </w:r>
      <w:r>
        <w:t xml:space="preserve">or successfully completing a graduation pathway. </w:t>
      </w:r>
      <w:r w:rsidR="007800FB">
        <w:t xml:space="preserve">Note that the GQE for these cohorts of students is the ISTEP+ 10 assessment. </w:t>
      </w:r>
      <w:r>
        <w:t>This memorandum provides a flow chart to serve as a resource for schools as they determine how to ensure a student is on the right path toward graduation.</w:t>
      </w:r>
      <w:r w:rsidR="009D107C">
        <w:t xml:space="preserve"> In addition to this flow chart, the Department would like to provide the following reminders to schools:</w:t>
      </w:r>
    </w:p>
    <w:p w14:paraId="0276C9C8" w14:textId="77777777" w:rsidR="009D107C" w:rsidRDefault="009D107C" w:rsidP="00AB2A59">
      <w:pPr>
        <w:pStyle w:val="Body"/>
        <w:pBdr>
          <w:top w:val="none" w:sz="0" w:space="0" w:color="auto"/>
        </w:pBdr>
      </w:pPr>
    </w:p>
    <w:p w14:paraId="08FA7AAD" w14:textId="6D51E516" w:rsidR="00576CF6" w:rsidRDefault="00576CF6" w:rsidP="00A224A1">
      <w:pPr>
        <w:pStyle w:val="Body"/>
        <w:numPr>
          <w:ilvl w:val="0"/>
          <w:numId w:val="10"/>
        </w:numPr>
        <w:pBdr>
          <w:top w:val="none" w:sz="0" w:space="0" w:color="auto"/>
        </w:pBdr>
        <w:ind w:left="360"/>
      </w:pPr>
      <w:r>
        <w:t>Students in the 2019 – 2022 cohorts may satisfy graduation requirements in one of four ways:</w:t>
      </w:r>
    </w:p>
    <w:p w14:paraId="55CB24DC" w14:textId="3FA13C2A" w:rsidR="00576CF6" w:rsidRDefault="00576CF6" w:rsidP="00A224A1">
      <w:pPr>
        <w:pStyle w:val="Body"/>
        <w:numPr>
          <w:ilvl w:val="1"/>
          <w:numId w:val="10"/>
        </w:numPr>
        <w:pBdr>
          <w:top w:val="none" w:sz="0" w:space="0" w:color="auto"/>
        </w:pBdr>
        <w:ind w:left="990"/>
      </w:pPr>
      <w:r>
        <w:t>Passing the GQE</w:t>
      </w:r>
      <w:r w:rsidR="007800FB">
        <w:t xml:space="preserve"> (ISTEP+ 10)</w:t>
      </w:r>
      <w:r>
        <w:t>.</w:t>
      </w:r>
    </w:p>
    <w:p w14:paraId="4A701E56" w14:textId="481837FF" w:rsidR="00576CF6" w:rsidRDefault="00576CF6" w:rsidP="00A224A1">
      <w:pPr>
        <w:pStyle w:val="Body"/>
        <w:numPr>
          <w:ilvl w:val="1"/>
          <w:numId w:val="10"/>
        </w:numPr>
        <w:pBdr>
          <w:top w:val="none" w:sz="0" w:space="0" w:color="auto"/>
        </w:pBdr>
        <w:ind w:left="990"/>
      </w:pPr>
      <w:r>
        <w:t>Not passing the GQE</w:t>
      </w:r>
      <w:r w:rsidR="007800FB">
        <w:t xml:space="preserve"> (ISTEP+ 10)</w:t>
      </w:r>
      <w:r>
        <w:t xml:space="preserve"> but receiving a waiver from the GQE </w:t>
      </w:r>
      <w:r w:rsidR="007800FB">
        <w:t xml:space="preserve">(ISTEP+ 10) </w:t>
      </w:r>
      <w:r>
        <w:t>requirement.</w:t>
      </w:r>
    </w:p>
    <w:p w14:paraId="60F4009E" w14:textId="2FA4421E" w:rsidR="00576CF6" w:rsidRDefault="00576CF6" w:rsidP="00A224A1">
      <w:pPr>
        <w:pStyle w:val="Body"/>
        <w:numPr>
          <w:ilvl w:val="1"/>
          <w:numId w:val="10"/>
        </w:numPr>
        <w:pBdr>
          <w:top w:val="none" w:sz="0" w:space="0" w:color="auto"/>
        </w:pBdr>
        <w:ind w:left="990"/>
      </w:pPr>
      <w:r>
        <w:t>Successfully completing a graduation pathway</w:t>
      </w:r>
      <w:r w:rsidR="00E302A9">
        <w:t>, if offered by the school</w:t>
      </w:r>
      <w:r>
        <w:t>.</w:t>
      </w:r>
    </w:p>
    <w:p w14:paraId="48D080ED" w14:textId="18A8311C" w:rsidR="00576CF6" w:rsidRDefault="00576CF6" w:rsidP="00A224A1">
      <w:pPr>
        <w:pStyle w:val="Body"/>
        <w:numPr>
          <w:ilvl w:val="1"/>
          <w:numId w:val="10"/>
        </w:numPr>
        <w:pBdr>
          <w:top w:val="none" w:sz="0" w:space="0" w:color="auto"/>
        </w:pBdr>
        <w:ind w:left="990"/>
      </w:pPr>
      <w:r>
        <w:t>Unsuccessfully completing a graduation pathway but receiving a waiver from the pathway requirement</w:t>
      </w:r>
      <w:r w:rsidR="00E302A9">
        <w:t>, if offered by the school</w:t>
      </w:r>
      <w:r>
        <w:t>.</w:t>
      </w:r>
    </w:p>
    <w:p w14:paraId="4DE300BE" w14:textId="5197757F" w:rsidR="00576CF6" w:rsidRDefault="00A224A1" w:rsidP="00A224A1">
      <w:pPr>
        <w:pStyle w:val="Body"/>
        <w:numPr>
          <w:ilvl w:val="0"/>
          <w:numId w:val="10"/>
        </w:numPr>
        <w:pBdr>
          <w:top w:val="none" w:sz="0" w:space="0" w:color="auto"/>
        </w:pBdr>
        <w:ind w:left="360"/>
      </w:pPr>
      <w:r>
        <w:t>All students must take the GQE</w:t>
      </w:r>
      <w:r w:rsidR="007800FB">
        <w:t xml:space="preserve"> (ISTEP+ 10)</w:t>
      </w:r>
      <w:r>
        <w:t xml:space="preserve"> during the cohort’s 10</w:t>
      </w:r>
      <w:r w:rsidRPr="00A224A1">
        <w:rPr>
          <w:vertAlign w:val="superscript"/>
        </w:rPr>
        <w:t>th</w:t>
      </w:r>
      <w:r>
        <w:t xml:space="preserve"> grade year. </w:t>
      </w:r>
      <w:r w:rsidR="00576CF6">
        <w:t>A student who does not pass the GQE in 10</w:t>
      </w:r>
      <w:r w:rsidR="00576CF6" w:rsidRPr="00576CF6">
        <w:rPr>
          <w:vertAlign w:val="superscript"/>
        </w:rPr>
        <w:t>th</w:t>
      </w:r>
      <w:r w:rsidR="00576CF6">
        <w:t xml:space="preserve"> grade may strictly pursue a graduation pathway</w:t>
      </w:r>
      <w:r w:rsidR="004E51F4">
        <w:t>,</w:t>
      </w:r>
      <w:r w:rsidR="00576CF6">
        <w:t xml:space="preserve"> and not re</w:t>
      </w:r>
      <w:r w:rsidR="004E51F4">
        <w:t>take the GQE</w:t>
      </w:r>
      <w:r w:rsidR="00576CF6">
        <w:t xml:space="preserve"> in </w:t>
      </w:r>
      <w:r w:rsidR="004E51F4">
        <w:t>11</w:t>
      </w:r>
      <w:r w:rsidR="004E51F4" w:rsidRPr="004E51F4">
        <w:rPr>
          <w:vertAlign w:val="superscript"/>
        </w:rPr>
        <w:t>th</w:t>
      </w:r>
      <w:r w:rsidR="004E51F4">
        <w:t xml:space="preserve"> or 12</w:t>
      </w:r>
      <w:r w:rsidR="004E51F4" w:rsidRPr="004E51F4">
        <w:rPr>
          <w:vertAlign w:val="superscript"/>
        </w:rPr>
        <w:t>th</w:t>
      </w:r>
      <w:r w:rsidR="004E51F4">
        <w:t xml:space="preserve"> grade.</w:t>
      </w:r>
    </w:p>
    <w:p w14:paraId="03B19E25" w14:textId="5906FB49" w:rsidR="00A224A1" w:rsidRPr="00A224A1" w:rsidRDefault="00A224A1" w:rsidP="00A224A1">
      <w:pPr>
        <w:pStyle w:val="Body"/>
        <w:numPr>
          <w:ilvl w:val="0"/>
          <w:numId w:val="10"/>
        </w:numPr>
        <w:pBdr>
          <w:top w:val="none" w:sz="0" w:space="0" w:color="auto"/>
        </w:pBdr>
        <w:ind w:left="360"/>
        <w:rPr>
          <w:b/>
        </w:rPr>
      </w:pPr>
      <w:r>
        <w:t>Students may work to satisfy graduation requirements for both the GQE and the pathways during their high school careers.</w:t>
      </w:r>
    </w:p>
    <w:p w14:paraId="65EBCC3C" w14:textId="5BA03358" w:rsidR="009D107C" w:rsidRPr="00E302A9" w:rsidRDefault="009D107C" w:rsidP="00A224A1">
      <w:pPr>
        <w:pStyle w:val="Body"/>
        <w:numPr>
          <w:ilvl w:val="0"/>
          <w:numId w:val="10"/>
        </w:numPr>
        <w:pBdr>
          <w:top w:val="none" w:sz="0" w:space="0" w:color="auto"/>
        </w:pBdr>
        <w:ind w:left="360"/>
        <w:rPr>
          <w:b/>
        </w:rPr>
      </w:pPr>
      <w:r>
        <w:t xml:space="preserve">IC 20-32-4-4 requires a student to take the GQE </w:t>
      </w:r>
      <w:r w:rsidR="007800FB">
        <w:t xml:space="preserve">(ISTEP+ 10) </w:t>
      </w:r>
      <w:r>
        <w:t xml:space="preserve">at least once during every school year after the initial administration of the exam in order to qualify for a waiver from the GQE graduation requirement. </w:t>
      </w:r>
      <w:r w:rsidRPr="00E302A9">
        <w:rPr>
          <w:b/>
        </w:rPr>
        <w:t xml:space="preserve">Therefore, a student who does not pass the GQE in </w:t>
      </w:r>
      <w:r w:rsidR="00B21715" w:rsidRPr="00E302A9">
        <w:rPr>
          <w:b/>
        </w:rPr>
        <w:t>Grade 10</w:t>
      </w:r>
      <w:r w:rsidRPr="00E302A9">
        <w:rPr>
          <w:b/>
        </w:rPr>
        <w:t xml:space="preserve"> and does not retake the GQE in </w:t>
      </w:r>
      <w:r w:rsidR="00B21715" w:rsidRPr="00E302A9">
        <w:rPr>
          <w:b/>
        </w:rPr>
        <w:t>Grades 11 and 12</w:t>
      </w:r>
      <w:r w:rsidRPr="00E302A9">
        <w:rPr>
          <w:b/>
        </w:rPr>
        <w:t xml:space="preserve"> will be ineligible to graduate with a waiver provided for under IC 20-32-4-4.</w:t>
      </w:r>
    </w:p>
    <w:p w14:paraId="7174E0FF" w14:textId="77777777" w:rsidR="00576CF6" w:rsidRDefault="009D107C" w:rsidP="00A224A1">
      <w:pPr>
        <w:pStyle w:val="Body"/>
        <w:numPr>
          <w:ilvl w:val="0"/>
          <w:numId w:val="10"/>
        </w:numPr>
        <w:pBdr>
          <w:top w:val="none" w:sz="0" w:space="0" w:color="auto"/>
        </w:pBdr>
        <w:ind w:left="360"/>
      </w:pPr>
      <w:r>
        <w:t>IC 20-32-4-4.1 requires a student to attempt to achieve at least three (3) separate postsecondary readiness competencies in order to qualify for a waiver from the postsecondary readiness competency graduation requirement under pathways. Therefore, a student who does not attempt at least three (3) competencies will be ineligible to graduate with a waiver provided for under IC 20-32-4-4.1.</w:t>
      </w:r>
      <w:r w:rsidR="00F273AB">
        <w:t xml:space="preserve"> Students who transferred during their senior year from a non</w:t>
      </w:r>
      <w:r w:rsidR="00576CF6">
        <w:t>-</w:t>
      </w:r>
      <w:r w:rsidR="00F273AB">
        <w:t>accredited nonpublic school or an out of state school to a public school in Indiana need only attempt one postsecondary readiness competency to qualify for a waiver from the postsecondary readiness competency graduation requirement.</w:t>
      </w:r>
    </w:p>
    <w:p w14:paraId="6D89DE16" w14:textId="77777777" w:rsidR="00A224A1" w:rsidRDefault="00A224A1" w:rsidP="00A224A1">
      <w:pPr>
        <w:pStyle w:val="Body"/>
        <w:pBdr>
          <w:top w:val="none" w:sz="0" w:space="0" w:color="auto"/>
        </w:pBdr>
      </w:pPr>
    </w:p>
    <w:p w14:paraId="2B4BAAD3" w14:textId="77777777" w:rsidR="002F043E" w:rsidRDefault="002F043E" w:rsidP="00A224A1">
      <w:pPr>
        <w:pStyle w:val="Body"/>
        <w:pBdr>
          <w:top w:val="none" w:sz="0" w:space="0" w:color="auto"/>
        </w:pBdr>
      </w:pPr>
    </w:p>
    <w:p w14:paraId="42BFFF71" w14:textId="77777777" w:rsidR="002F043E" w:rsidRDefault="002F043E" w:rsidP="00A224A1">
      <w:pPr>
        <w:pStyle w:val="Body"/>
        <w:pBdr>
          <w:top w:val="none" w:sz="0" w:space="0" w:color="auto"/>
        </w:pBdr>
      </w:pPr>
    </w:p>
    <w:p w14:paraId="25E49BC9" w14:textId="306B57A8" w:rsidR="00F01434" w:rsidRDefault="00A224A1" w:rsidP="00AB2A59">
      <w:pPr>
        <w:pStyle w:val="Body"/>
        <w:pBdr>
          <w:top w:val="none" w:sz="0" w:space="0" w:color="auto"/>
        </w:pBdr>
      </w:pPr>
      <w:r>
        <w:t xml:space="preserve">Questions on this </w:t>
      </w:r>
      <w:r w:rsidR="00F01434">
        <w:t>memorandum may be forwarded to</w:t>
      </w:r>
      <w:r w:rsidR="00576CF6">
        <w:t xml:space="preserve"> Amanda Culhan at </w:t>
      </w:r>
      <w:hyperlink r:id="rId9" w:history="1">
        <w:r w:rsidR="00E302A9" w:rsidRPr="00161DD1">
          <w:rPr>
            <w:rStyle w:val="Hyperlink"/>
          </w:rPr>
          <w:t>aculhan@doe.in.gov</w:t>
        </w:r>
      </w:hyperlink>
      <w:r w:rsidR="00E302A9">
        <w:t xml:space="preserve"> or Tarrell Berry at </w:t>
      </w:r>
      <w:hyperlink r:id="rId10" w:history="1">
        <w:r w:rsidR="00E302A9" w:rsidRPr="00161DD1">
          <w:rPr>
            <w:rStyle w:val="Hyperlink"/>
          </w:rPr>
          <w:t>tberry2@doe.in.gov</w:t>
        </w:r>
      </w:hyperlink>
      <w:r w:rsidR="00E302A9">
        <w:t>.</w:t>
      </w:r>
      <w:r w:rsidR="00576CF6">
        <w:t xml:space="preserve"> </w:t>
      </w:r>
      <w:r w:rsidR="00F01434">
        <w:t xml:space="preserve"> </w:t>
      </w:r>
    </w:p>
    <w:p w14:paraId="5AB75BC7" w14:textId="77777777" w:rsidR="002F043E" w:rsidRDefault="002F043E" w:rsidP="00AB2A59">
      <w:pPr>
        <w:pStyle w:val="Body"/>
        <w:pBdr>
          <w:top w:val="none" w:sz="0" w:space="0" w:color="auto"/>
        </w:pBdr>
      </w:pPr>
    </w:p>
    <w:p w14:paraId="4748D74E" w14:textId="77777777" w:rsidR="002F043E" w:rsidRDefault="002F043E" w:rsidP="00AB2A59">
      <w:pPr>
        <w:pStyle w:val="Body"/>
        <w:pBdr>
          <w:top w:val="none" w:sz="0" w:space="0" w:color="auto"/>
        </w:pBdr>
      </w:pPr>
    </w:p>
    <w:p w14:paraId="5078A865" w14:textId="77777777" w:rsidR="002F043E" w:rsidRDefault="002F043E" w:rsidP="00AB2A59">
      <w:pPr>
        <w:pStyle w:val="Body"/>
        <w:pBdr>
          <w:top w:val="none" w:sz="0" w:space="0" w:color="auto"/>
        </w:pBdr>
      </w:pPr>
    </w:p>
    <w:p w14:paraId="61E6B606" w14:textId="709115B3" w:rsidR="00A80FFF" w:rsidRPr="00576CF6" w:rsidRDefault="00A80FFF" w:rsidP="00576CF6">
      <w:pPr>
        <w:pStyle w:val="Body"/>
        <w:pBdr>
          <w:top w:val="none" w:sz="0" w:space="0" w:color="auto"/>
        </w:pBdr>
        <w:jc w:val="center"/>
        <w:rPr>
          <w:b/>
          <w:u w:val="single"/>
        </w:rPr>
      </w:pPr>
      <w:r w:rsidRPr="00A80FFF">
        <w:rPr>
          <w:b/>
          <w:u w:val="single"/>
        </w:rPr>
        <w:t>FLOWCHART OF GRADUATION REQUIREMENTS FOR 2019 – 2022 COHORTS</w:t>
      </w:r>
    </w:p>
    <w:p w14:paraId="71057A0D" w14:textId="342BA8A1" w:rsidR="00A80FFF" w:rsidRDefault="00981CBC" w:rsidP="00A80FFF">
      <w:pPr>
        <w:pStyle w:val="Body"/>
        <w:pBdr>
          <w:top w:val="none" w:sz="0" w:space="0" w:color="auto"/>
        </w:pBdr>
      </w:pPr>
      <w:r>
        <w:rPr>
          <w:noProof/>
        </w:rPr>
        <w:drawing>
          <wp:inline distT="0" distB="0" distL="0" distR="0" wp14:anchorId="09F1022E" wp14:editId="6369CDFC">
            <wp:extent cx="5938748" cy="2331720"/>
            <wp:effectExtent l="0" t="0" r="5080" b="0"/>
            <wp:docPr id="4" name="Picture 4" descr="C:\Users\mpaino\Desktop\1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paino\Desktop\10-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8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F0BFD" w14:textId="5C9E39FA" w:rsidR="00981CBC" w:rsidRDefault="00981CBC" w:rsidP="00A80FFF">
      <w:pPr>
        <w:pStyle w:val="Body"/>
        <w:pBdr>
          <w:top w:val="none" w:sz="0" w:space="0" w:color="auto"/>
        </w:pBdr>
      </w:pPr>
      <w:r>
        <w:rPr>
          <w:noProof/>
        </w:rPr>
        <w:drawing>
          <wp:inline distT="0" distB="0" distL="0" distR="0" wp14:anchorId="592C4477" wp14:editId="613148A1">
            <wp:extent cx="5934075" cy="3209925"/>
            <wp:effectExtent l="0" t="0" r="9525" b="9525"/>
            <wp:docPr id="5" name="Picture 5" descr="C:\Users\mpaino\Desktop\12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paino\Desktop\12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B9EB6" w14:textId="0A815B01" w:rsidR="00981CBC" w:rsidRDefault="00981CBC" w:rsidP="00A80FFF">
      <w:pPr>
        <w:pStyle w:val="Body"/>
        <w:pBdr>
          <w:top w:val="none" w:sz="0" w:space="0" w:color="auto"/>
        </w:pBdr>
      </w:pPr>
    </w:p>
    <w:p w14:paraId="7FA46FA0" w14:textId="77777777" w:rsidR="00981CBC" w:rsidRDefault="00981CBC" w:rsidP="00A80FFF">
      <w:pPr>
        <w:pStyle w:val="Body"/>
        <w:pBdr>
          <w:top w:val="none" w:sz="0" w:space="0" w:color="auto"/>
        </w:pBdr>
      </w:pPr>
    </w:p>
    <w:p w14:paraId="625B4037" w14:textId="70FE84E9" w:rsidR="00981CBC" w:rsidRDefault="00981CBC" w:rsidP="00A80FFF">
      <w:pPr>
        <w:pStyle w:val="Body"/>
        <w:pBdr>
          <w:top w:val="none" w:sz="0" w:space="0" w:color="auto"/>
        </w:pBdr>
      </w:pPr>
    </w:p>
    <w:p w14:paraId="61BB57D1" w14:textId="77777777" w:rsidR="00981CBC" w:rsidRDefault="00981CBC" w:rsidP="00A80FFF">
      <w:pPr>
        <w:pStyle w:val="Body"/>
        <w:pBdr>
          <w:top w:val="none" w:sz="0" w:space="0" w:color="auto"/>
        </w:pBdr>
      </w:pPr>
    </w:p>
    <w:p w14:paraId="6B24E4F5" w14:textId="77777777" w:rsidR="00981CBC" w:rsidRDefault="00981CBC" w:rsidP="00A80FFF">
      <w:pPr>
        <w:pStyle w:val="Body"/>
        <w:pBdr>
          <w:top w:val="none" w:sz="0" w:space="0" w:color="auto"/>
        </w:pBdr>
      </w:pPr>
    </w:p>
    <w:p w14:paraId="01708AC3" w14:textId="77777777" w:rsidR="00981CBC" w:rsidRDefault="00981CBC" w:rsidP="00A80FFF">
      <w:pPr>
        <w:pStyle w:val="Body"/>
        <w:pBdr>
          <w:top w:val="none" w:sz="0" w:space="0" w:color="auto"/>
        </w:pBdr>
      </w:pPr>
    </w:p>
    <w:p w14:paraId="558802C7" w14:textId="77777777" w:rsidR="00981CBC" w:rsidRDefault="00981CBC" w:rsidP="00A80FFF">
      <w:pPr>
        <w:pStyle w:val="Body"/>
        <w:pBdr>
          <w:top w:val="none" w:sz="0" w:space="0" w:color="auto"/>
        </w:pBdr>
      </w:pPr>
    </w:p>
    <w:p w14:paraId="5DDF5F03" w14:textId="77777777" w:rsidR="00981CBC" w:rsidRDefault="00981CBC" w:rsidP="00A80FFF">
      <w:pPr>
        <w:pStyle w:val="Body"/>
        <w:pBdr>
          <w:top w:val="none" w:sz="0" w:space="0" w:color="auto"/>
        </w:pBdr>
      </w:pPr>
    </w:p>
    <w:p w14:paraId="5D4CEFC6" w14:textId="49EA5DD7" w:rsidR="00981CBC" w:rsidRDefault="00981CBC" w:rsidP="00A80FFF">
      <w:pPr>
        <w:pStyle w:val="Body"/>
        <w:pBdr>
          <w:top w:val="none" w:sz="0" w:space="0" w:color="auto"/>
        </w:pBdr>
      </w:pPr>
    </w:p>
    <w:p w14:paraId="4E39258A" w14:textId="13F510CE" w:rsidR="00F01434" w:rsidRPr="0086771C" w:rsidRDefault="00F01434" w:rsidP="00F01434">
      <w:pPr>
        <w:pStyle w:val="Body"/>
        <w:pBdr>
          <w:top w:val="none" w:sz="0" w:space="0" w:color="auto"/>
        </w:pBdr>
      </w:pPr>
    </w:p>
    <w:sectPr w:rsidR="00F01434" w:rsidRPr="0086771C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6E893" w14:textId="77777777" w:rsidR="00913D5F" w:rsidRDefault="00913D5F">
      <w:r>
        <w:separator/>
      </w:r>
    </w:p>
  </w:endnote>
  <w:endnote w:type="continuationSeparator" w:id="0">
    <w:p w14:paraId="40CBC0E1" w14:textId="77777777" w:rsidR="00913D5F" w:rsidRDefault="0091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8989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1FD957E7" w14:textId="65A7DD05" w:rsidR="000B108F" w:rsidRPr="000B108F" w:rsidRDefault="000B108F">
        <w:pPr>
          <w:pStyle w:val="Footer"/>
          <w:jc w:val="right"/>
          <w:rPr>
            <w:rFonts w:asciiTheme="majorHAnsi" w:hAnsiTheme="majorHAnsi" w:cstheme="majorHAnsi"/>
          </w:rPr>
        </w:pPr>
        <w:r w:rsidRPr="000B108F">
          <w:rPr>
            <w:rFonts w:asciiTheme="majorHAnsi" w:hAnsiTheme="majorHAnsi" w:cstheme="majorHAnsi"/>
          </w:rPr>
          <w:fldChar w:fldCharType="begin"/>
        </w:r>
        <w:r w:rsidRPr="000B108F">
          <w:rPr>
            <w:rFonts w:asciiTheme="majorHAnsi" w:hAnsiTheme="majorHAnsi" w:cstheme="majorHAnsi"/>
          </w:rPr>
          <w:instrText xml:space="preserve"> PAGE   \* MERGEFORMAT </w:instrText>
        </w:r>
        <w:r w:rsidRPr="000B108F">
          <w:rPr>
            <w:rFonts w:asciiTheme="majorHAnsi" w:hAnsiTheme="majorHAnsi" w:cstheme="majorHAnsi"/>
          </w:rPr>
          <w:fldChar w:fldCharType="separate"/>
        </w:r>
        <w:r w:rsidR="00A138F1">
          <w:rPr>
            <w:rFonts w:asciiTheme="majorHAnsi" w:hAnsiTheme="majorHAnsi" w:cstheme="majorHAnsi"/>
            <w:noProof/>
          </w:rPr>
          <w:t>1</w:t>
        </w:r>
        <w:r w:rsidRPr="000B108F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5C03F6E9" w14:textId="239B1076" w:rsidR="000B108F" w:rsidRDefault="000B108F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0F05D" w14:textId="77777777" w:rsidR="00913D5F" w:rsidRDefault="00913D5F">
      <w:r>
        <w:separator/>
      </w:r>
    </w:p>
  </w:footnote>
  <w:footnote w:type="continuationSeparator" w:id="0">
    <w:p w14:paraId="7A34A009" w14:textId="77777777" w:rsidR="00913D5F" w:rsidRDefault="0091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02CF" w14:textId="52681066" w:rsidR="00D43DCD" w:rsidRDefault="00D43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0076" w14:textId="7D49F284" w:rsidR="000B108F" w:rsidRDefault="000B108F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6ED57" wp14:editId="066607B2">
          <wp:simplePos x="0" y="0"/>
          <wp:positionH relativeFrom="column">
            <wp:posOffset>-57150</wp:posOffset>
          </wp:positionH>
          <wp:positionV relativeFrom="paragraph">
            <wp:posOffset>-148590</wp:posOffset>
          </wp:positionV>
          <wp:extent cx="5937885" cy="798195"/>
          <wp:effectExtent l="0" t="0" r="5715" b="0"/>
          <wp:wrapTopAndBottom/>
          <wp:docPr id="3" name="Picture 3" descr="LetterheadWithoutline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99A8" w14:textId="521D8AF1" w:rsidR="00D43DCD" w:rsidRDefault="00D43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A05"/>
    <w:multiLevelType w:val="hybridMultilevel"/>
    <w:tmpl w:val="8276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24F"/>
    <w:multiLevelType w:val="hybridMultilevel"/>
    <w:tmpl w:val="81E6C410"/>
    <w:lvl w:ilvl="0" w:tplc="4D5AC6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67B3C"/>
    <w:multiLevelType w:val="hybridMultilevel"/>
    <w:tmpl w:val="B7AC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1CF5"/>
    <w:multiLevelType w:val="hybridMultilevel"/>
    <w:tmpl w:val="27C0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0EB"/>
    <w:multiLevelType w:val="hybridMultilevel"/>
    <w:tmpl w:val="BF4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66E2A"/>
    <w:multiLevelType w:val="hybridMultilevel"/>
    <w:tmpl w:val="34F4CCD8"/>
    <w:lvl w:ilvl="0" w:tplc="2B5003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F431C"/>
    <w:multiLevelType w:val="hybridMultilevel"/>
    <w:tmpl w:val="EE88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DBD"/>
    <w:multiLevelType w:val="hybridMultilevel"/>
    <w:tmpl w:val="C56E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C7150"/>
    <w:multiLevelType w:val="hybridMultilevel"/>
    <w:tmpl w:val="E560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E1B9D"/>
    <w:multiLevelType w:val="hybridMultilevel"/>
    <w:tmpl w:val="8406709E"/>
    <w:lvl w:ilvl="0" w:tplc="18FCD5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360A"/>
    <w:multiLevelType w:val="hybridMultilevel"/>
    <w:tmpl w:val="0EF2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4"/>
    <w:rsid w:val="000A2467"/>
    <w:rsid w:val="000B108F"/>
    <w:rsid w:val="000B3328"/>
    <w:rsid w:val="001376B1"/>
    <w:rsid w:val="001A45CB"/>
    <w:rsid w:val="001D0388"/>
    <w:rsid w:val="002A0C06"/>
    <w:rsid w:val="002A1D65"/>
    <w:rsid w:val="002C2B34"/>
    <w:rsid w:val="002E2DF8"/>
    <w:rsid w:val="002F043E"/>
    <w:rsid w:val="002F2C20"/>
    <w:rsid w:val="00301486"/>
    <w:rsid w:val="00354161"/>
    <w:rsid w:val="00354C7E"/>
    <w:rsid w:val="0037187D"/>
    <w:rsid w:val="003762D6"/>
    <w:rsid w:val="00427383"/>
    <w:rsid w:val="00467083"/>
    <w:rsid w:val="00482E1B"/>
    <w:rsid w:val="004D48DC"/>
    <w:rsid w:val="004E51F4"/>
    <w:rsid w:val="00546772"/>
    <w:rsid w:val="00556CCF"/>
    <w:rsid w:val="00576CF6"/>
    <w:rsid w:val="00586F81"/>
    <w:rsid w:val="005A4294"/>
    <w:rsid w:val="005B0469"/>
    <w:rsid w:val="006A7AC4"/>
    <w:rsid w:val="0075401F"/>
    <w:rsid w:val="007800FB"/>
    <w:rsid w:val="0078556E"/>
    <w:rsid w:val="007D2DE0"/>
    <w:rsid w:val="008151E1"/>
    <w:rsid w:val="0086771C"/>
    <w:rsid w:val="00913D5F"/>
    <w:rsid w:val="009737D1"/>
    <w:rsid w:val="00981CBC"/>
    <w:rsid w:val="009D107C"/>
    <w:rsid w:val="00A138F1"/>
    <w:rsid w:val="00A224A1"/>
    <w:rsid w:val="00A37037"/>
    <w:rsid w:val="00A42338"/>
    <w:rsid w:val="00A72200"/>
    <w:rsid w:val="00A73EB0"/>
    <w:rsid w:val="00A80FFF"/>
    <w:rsid w:val="00AB2A59"/>
    <w:rsid w:val="00AD6C23"/>
    <w:rsid w:val="00B21715"/>
    <w:rsid w:val="00BF1636"/>
    <w:rsid w:val="00C30FD9"/>
    <w:rsid w:val="00C36658"/>
    <w:rsid w:val="00C52DB9"/>
    <w:rsid w:val="00D05F2C"/>
    <w:rsid w:val="00D43DCD"/>
    <w:rsid w:val="00DB0C74"/>
    <w:rsid w:val="00E302A9"/>
    <w:rsid w:val="00F01434"/>
    <w:rsid w:val="00F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16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636"/>
  </w:style>
  <w:style w:type="character" w:styleId="FootnoteReference">
    <w:name w:val="footnote reference"/>
    <w:basedOn w:val="DefaultParagraphFont"/>
    <w:uiPriority w:val="99"/>
    <w:semiHidden/>
    <w:unhideWhenUsed/>
    <w:rsid w:val="00BF16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4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16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636"/>
  </w:style>
  <w:style w:type="character" w:styleId="FootnoteReference">
    <w:name w:val="footnote reference"/>
    <w:basedOn w:val="DefaultParagraphFont"/>
    <w:uiPriority w:val="99"/>
    <w:semiHidden/>
    <w:unhideWhenUsed/>
    <w:rsid w:val="00BF16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4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berry2@doe.in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ulhan@doe.in.go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7F51-9A20-473D-865C-CA45CBC0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Dept of Education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Paino, Maggie</dc:creator>
  <cp:lastModifiedBy>Fleck Education</cp:lastModifiedBy>
  <cp:revision>2</cp:revision>
  <cp:lastPrinted>2018-06-21T18:49:00Z</cp:lastPrinted>
  <dcterms:created xsi:type="dcterms:W3CDTF">2018-10-30T16:57:00Z</dcterms:created>
  <dcterms:modified xsi:type="dcterms:W3CDTF">2018-10-30T16:57:00Z</dcterms:modified>
</cp:coreProperties>
</file>